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Garamond" w:cs="Garamond" w:eastAsia="Garamond" w:hAnsi="Garamond"/>
          <w:b w:val="1"/>
        </w:rPr>
      </w:pPr>
      <w:r w:rsidDel="00000000" w:rsidR="00000000" w:rsidRPr="00000000">
        <w:rPr>
          <w:rFonts w:ascii="Garamond" w:cs="Garamond" w:eastAsia="Garamond" w:hAnsi="Garamond"/>
          <w:b w:val="1"/>
          <w:rtl w:val="0"/>
        </w:rPr>
        <w:t xml:space="preserve">Temaforløb om eksistens og identitet - med inddragelse af computerspillet “Walking Dead: The Game”</w:t>
      </w:r>
    </w:p>
    <w:p w:rsidR="00000000" w:rsidDel="00000000" w:rsidP="00000000" w:rsidRDefault="00000000" w:rsidRPr="00000000" w14:paraId="00000002">
      <w:pPr>
        <w:rPr>
          <w:rFonts w:ascii="Garamond" w:cs="Garamond" w:eastAsia="Garamond" w:hAnsi="Garamond"/>
        </w:rPr>
      </w:pPr>
      <w:r w:rsidDel="00000000" w:rsidR="00000000" w:rsidRPr="00000000">
        <w:rPr>
          <w:rFonts w:ascii="Garamond" w:cs="Garamond" w:eastAsia="Garamond" w:hAnsi="Garamond"/>
          <w:rtl w:val="0"/>
        </w:rPr>
        <w:t xml:space="preserve">Grundbogsafsæt i “Eksistentialisme i dansk”, Systime: </w:t>
      </w:r>
      <w:hyperlink r:id="rId6">
        <w:r w:rsidDel="00000000" w:rsidR="00000000" w:rsidRPr="00000000">
          <w:rPr>
            <w:rFonts w:ascii="Garamond" w:cs="Garamond" w:eastAsia="Garamond" w:hAnsi="Garamond"/>
            <w:color w:val="1155cc"/>
            <w:sz w:val="24"/>
            <w:szCs w:val="24"/>
            <w:rtl w:val="0"/>
          </w:rPr>
          <w:t xml:space="preserve">https://eksistentialismeidansk.systime.dk</w:t>
        </w:r>
      </w:hyperlink>
      <w:r w:rsidDel="00000000" w:rsidR="00000000" w:rsidRPr="00000000">
        <w:rPr>
          <w:rFonts w:ascii="Garamond" w:cs="Garamond" w:eastAsia="Garamond" w:hAnsi="Garamond"/>
          <w:rtl w:val="0"/>
        </w:rPr>
        <w:t xml:space="preserve"> </w:t>
      </w:r>
    </w:p>
    <w:p w:rsidR="00000000" w:rsidDel="00000000" w:rsidP="00000000" w:rsidRDefault="00000000" w:rsidRPr="00000000" w14:paraId="00000003">
      <w:pPr>
        <w:rPr>
          <w:rFonts w:ascii="Garamond" w:cs="Garamond" w:eastAsia="Garamond" w:hAnsi="Garamond"/>
        </w:rPr>
      </w:pPr>
      <w:r w:rsidDel="00000000" w:rsidR="00000000" w:rsidRPr="00000000">
        <w:rPr>
          <w:rFonts w:ascii="Garamond" w:cs="Garamond" w:eastAsia="Garamond" w:hAnsi="Garamond"/>
          <w:rtl w:val="0"/>
        </w:rPr>
        <w:t xml:space="preserve">8 moduler á 90 min. </w:t>
      </w:r>
      <w:r w:rsidDel="00000000" w:rsidR="00000000" w:rsidRPr="00000000">
        <w:rPr>
          <w:rtl w:val="0"/>
        </w:rPr>
      </w:r>
    </w:p>
    <w:p w:rsidR="00000000" w:rsidDel="00000000" w:rsidP="00000000" w:rsidRDefault="00000000" w:rsidRPr="00000000" w14:paraId="00000004">
      <w:pPr>
        <w:rPr>
          <w:rFonts w:ascii="Garamond" w:cs="Garamond" w:eastAsia="Garamond" w:hAnsi="Garamond"/>
        </w:rPr>
      </w:pPr>
      <w:r w:rsidDel="00000000" w:rsidR="00000000" w:rsidRPr="00000000">
        <w:rPr>
          <w:rtl w:val="0"/>
        </w:rPr>
      </w:r>
    </w:p>
    <w:p w:rsidR="00000000" w:rsidDel="00000000" w:rsidP="00000000" w:rsidRDefault="00000000" w:rsidRPr="00000000" w14:paraId="00000005">
      <w:pPr>
        <w:rPr>
          <w:rFonts w:ascii="Garamond" w:cs="Garamond" w:eastAsia="Garamond" w:hAnsi="Garamond"/>
          <w:sz w:val="24"/>
          <w:szCs w:val="24"/>
          <w:u w:val="single"/>
        </w:rPr>
      </w:pPr>
      <w:r w:rsidDel="00000000" w:rsidR="00000000" w:rsidRPr="00000000">
        <w:rPr>
          <w:rFonts w:ascii="Garamond" w:cs="Garamond" w:eastAsia="Garamond" w:hAnsi="Garamond"/>
          <w:sz w:val="24"/>
          <w:szCs w:val="24"/>
          <w:u w:val="single"/>
          <w:rtl w:val="0"/>
        </w:rPr>
        <w:t xml:space="preserve">Overordnet modulplan:</w:t>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95"/>
        <w:gridCol w:w="2070"/>
        <w:gridCol w:w="1440"/>
        <w:gridCol w:w="2130"/>
        <w:gridCol w:w="2280"/>
        <w:tblGridChange w:id="0">
          <w:tblGrid>
            <w:gridCol w:w="1095"/>
            <w:gridCol w:w="2070"/>
            <w:gridCol w:w="1440"/>
            <w:gridCol w:w="2130"/>
            <w:gridCol w:w="22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Fagligt fokus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Faglige mål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Begreber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Arbejdsform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Eksistentialisme på tværs af medier og tider</w:t>
            </w:r>
          </w:p>
          <w:p w:rsidR="00000000" w:rsidDel="00000000" w:rsidP="00000000" w:rsidRDefault="00000000" w:rsidRPr="00000000" w14:paraId="0000000D">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0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Eksistentielle ståsteder og definitioner</w:t>
            </w:r>
          </w:p>
          <w:p w:rsidR="00000000" w:rsidDel="00000000" w:rsidP="00000000" w:rsidRDefault="00000000" w:rsidRPr="00000000" w14:paraId="0000000F">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Definitioner på identitet og identitetsdannelse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Analysere og fortolke fiktive tekster</w:t>
            </w:r>
          </w:p>
          <w:p w:rsidR="00000000" w:rsidDel="00000000" w:rsidP="00000000" w:rsidRDefault="00000000" w:rsidRPr="00000000" w14:paraId="00000012">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ab/>
            </w:r>
          </w:p>
          <w:p w:rsidR="00000000" w:rsidDel="00000000" w:rsidP="00000000" w:rsidRDefault="00000000" w:rsidRPr="00000000" w14:paraId="00000013">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Demonstrere kendskab til digitale mediers indhold og funktion</w:t>
            </w:r>
          </w:p>
          <w:p w:rsidR="00000000" w:rsidDel="00000000" w:rsidP="00000000" w:rsidRDefault="00000000" w:rsidRPr="00000000" w14:paraId="00000014">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15">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Udvikling af fagsprog og indsigt i eksistentielle læsninger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Eksistens, eksistentialisme, eksistensfilosofi, identitet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Leksikalsk undersøgelse (informationssøgning) af begreberne eksistens og identitet</w:t>
            </w:r>
          </w:p>
          <w:p w:rsidR="00000000" w:rsidDel="00000000" w:rsidP="00000000" w:rsidRDefault="00000000" w:rsidRPr="00000000" w14:paraId="00000018">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Eksistentiel læsning af kortfilm: “Connected” (2009) af Jens Raunkjær Christensen &amp; Jonas Drotner Mouritsen </w:t>
            </w:r>
            <w:r w:rsidDel="00000000" w:rsidR="00000000" w:rsidRPr="00000000">
              <w:rPr>
                <w:rFonts w:ascii="Garamond" w:cs="Garamond" w:eastAsia="Garamond" w:hAnsi="Garamond"/>
                <w:sz w:val="20"/>
                <w:szCs w:val="20"/>
                <w:u w:val="single"/>
                <w:rtl w:val="0"/>
              </w:rPr>
              <w:t xml:space="preserve">eller</w:t>
            </w:r>
            <w:r w:rsidDel="00000000" w:rsidR="00000000" w:rsidRPr="00000000">
              <w:rPr>
                <w:rFonts w:ascii="Garamond" w:cs="Garamond" w:eastAsia="Garamond" w:hAnsi="Garamond"/>
                <w:sz w:val="20"/>
                <w:szCs w:val="20"/>
                <w:rtl w:val="0"/>
              </w:rPr>
              <w:t xml:space="preserve"> “Helium” (2014) af Walther og Magnusson</w:t>
            </w:r>
          </w:p>
          <w:p w:rsidR="00000000" w:rsidDel="00000000" w:rsidP="00000000" w:rsidRDefault="00000000" w:rsidRPr="00000000" w14:paraId="0000001A">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Placering ift. grundtemaer i eksistentialistisk litteratur jf. “Eksistentialisme i Dansk”, Systime.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2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Forståelse for analyse af ikke-fiktive tekster - og sagprosa</w:t>
            </w:r>
          </w:p>
          <w:p w:rsidR="00000000" w:rsidDel="00000000" w:rsidP="00000000" w:rsidRDefault="00000000" w:rsidRPr="00000000" w14:paraId="0000001E">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F">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Analytiske tilgange til meningsjournalistik</w:t>
            </w:r>
          </w:p>
          <w:p w:rsidR="00000000" w:rsidDel="00000000" w:rsidP="00000000" w:rsidRDefault="00000000" w:rsidRPr="00000000" w14:paraId="00000020">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Tekstfokus i “Kan det måles og vejes? Jeg står og kigger ned i et hul” (2017) af Søren Bøjgaard og Anette Schleicher.</w:t>
            </w:r>
          </w:p>
          <w:p w:rsidR="00000000" w:rsidDel="00000000" w:rsidP="00000000" w:rsidRDefault="00000000" w:rsidRPr="00000000" w14:paraId="00000022">
            <w:pPr>
              <w:widowControl w:val="0"/>
              <w:spacing w:line="240" w:lineRule="auto"/>
              <w:rPr>
                <w:rFonts w:ascii="Garamond" w:cs="Garamond" w:eastAsia="Garamond" w:hAnsi="Garamond"/>
                <w:sz w:val="20"/>
                <w:szCs w:val="20"/>
              </w:rPr>
            </w:pPr>
            <w:hyperlink r:id="rId7">
              <w:r w:rsidDel="00000000" w:rsidR="00000000" w:rsidRPr="00000000">
                <w:rPr>
                  <w:rFonts w:ascii="Garamond" w:cs="Garamond" w:eastAsia="Garamond" w:hAnsi="Garamond"/>
                  <w:color w:val="1155cc"/>
                  <w:sz w:val="20"/>
                  <w:szCs w:val="20"/>
                  <w:u w:val="single"/>
                  <w:rtl w:val="0"/>
                </w:rPr>
                <w:t xml:space="preserve">https://www.jv.dk/debat/Kan-det-maales-og-vejes-Jeg-staar-og-kigger-ned-i-et-hul/artikel/2550556</w:t>
              </w:r>
            </w:hyperlink>
            <w:r w:rsidDel="00000000" w:rsidR="00000000" w:rsidRPr="00000000">
              <w:rPr>
                <w:rFonts w:ascii="Garamond" w:cs="Garamond" w:eastAsia="Garamond" w:hAnsi="Garamond"/>
                <w:sz w:val="20"/>
                <w:szCs w:val="20"/>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Analysere og vurdere ikke-fiktive tekster</w:t>
            </w:r>
          </w:p>
          <w:p w:rsidR="00000000" w:rsidDel="00000000" w:rsidP="00000000" w:rsidRDefault="00000000" w:rsidRPr="00000000" w14:paraId="00000024">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25">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Anvende forskellige mundtlige og skriftlige fremstillingsformer formålsbestemt og genrebevidst, herunder redegøre, kommentere, argumentere, diskutere, vurdere og reflektere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Sproglig-kommunikativ analyse</w:t>
            </w:r>
          </w:p>
          <w:p w:rsidR="00000000" w:rsidDel="00000000" w:rsidP="00000000" w:rsidRDefault="00000000" w:rsidRPr="00000000" w14:paraId="00000027">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Sagprosa og meningsjournalistik</w:t>
            </w:r>
          </w:p>
          <w:p w:rsidR="00000000" w:rsidDel="00000000" w:rsidP="00000000" w:rsidRDefault="00000000" w:rsidRPr="00000000" w14:paraId="00000029">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Retoriske og argumentationsteoretiske begreber herunder appelformer og Toulmins argumentationsmodel</w:t>
            </w:r>
          </w:p>
          <w:p w:rsidR="00000000" w:rsidDel="00000000" w:rsidP="00000000" w:rsidRDefault="00000000" w:rsidRPr="00000000" w14:paraId="0000002B">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1:</w:t>
            </w:r>
          </w:p>
          <w:p w:rsidR="00000000" w:rsidDel="00000000" w:rsidP="00000000" w:rsidRDefault="00000000" w:rsidRPr="00000000" w14:paraId="0000002E">
            <w:pPr>
              <w:widowControl w:val="0"/>
              <w:spacing w:line="240" w:lineRule="auto"/>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Foretag en sagprosaanalyse af teksten “Kan det måles og vejes? Jeg står og kigger ned i et hul” (2017)</w:t>
            </w:r>
          </w:p>
          <w:p w:rsidR="00000000" w:rsidDel="00000000" w:rsidP="00000000" w:rsidRDefault="00000000" w:rsidRPr="00000000" w14:paraId="0000002F">
            <w:pPr>
              <w:widowControl w:val="0"/>
              <w:spacing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2:</w:t>
            </w:r>
          </w:p>
          <w:p w:rsidR="00000000" w:rsidDel="00000000" w:rsidP="00000000" w:rsidRDefault="00000000" w:rsidRPr="00000000" w14:paraId="00000031">
            <w:pPr>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Find 2-3 Facebook-opdateringer eller tweets af Svend Brinkmann, der fungerer som et debatindlæg i en aktuel debat og berører eksistentialisme og/eller identitet.</w:t>
            </w:r>
          </w:p>
          <w:p w:rsidR="00000000" w:rsidDel="00000000" w:rsidP="00000000" w:rsidRDefault="00000000" w:rsidRPr="00000000" w14:paraId="00000032">
            <w:pPr>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Analyser debatindlægget med udgangspunkt i Toulmins argumentationsmodel.</w:t>
            </w:r>
          </w:p>
          <w:p w:rsidR="00000000" w:rsidDel="00000000" w:rsidP="00000000" w:rsidRDefault="00000000" w:rsidRPr="00000000" w14:paraId="00000033">
            <w:pPr>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4">
            <w:pPr>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3: Meme-produktion</w:t>
            </w:r>
          </w:p>
          <w:p w:rsidR="00000000" w:rsidDel="00000000" w:rsidP="00000000" w:rsidRDefault="00000000" w:rsidRPr="00000000" w14:paraId="00000035">
            <w:pPr>
              <w:ind w:left="0" w:firstLine="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skal undersøge og formidle en af Brinkmanns eksistentielle og identitetsmæssige betragtninger gennem et multimodalt produkt - et “meme” (eller flere).</w:t>
            </w:r>
          </w:p>
          <w:p w:rsidR="00000000" w:rsidDel="00000000" w:rsidP="00000000" w:rsidRDefault="00000000" w:rsidRPr="00000000" w14:paraId="00000036">
            <w:pPr>
              <w:ind w:left="0" w:firstLine="0"/>
              <w:rPr>
                <w:rFonts w:ascii="Garamond" w:cs="Garamond" w:eastAsia="Garamond" w:hAnsi="Garamond"/>
                <w:sz w:val="24"/>
                <w:szCs w:val="24"/>
              </w:rPr>
            </w:pPr>
            <w:r w:rsidDel="00000000" w:rsidR="00000000" w:rsidRPr="00000000">
              <w:rPr>
                <w:rFonts w:ascii="Garamond" w:cs="Garamond" w:eastAsia="Garamond" w:hAnsi="Garamond"/>
                <w:sz w:val="20"/>
                <w:szCs w:val="20"/>
                <w:rtl w:val="0"/>
              </w:rPr>
              <w:t xml:space="preserve">I skal således med afsæt i jeres analyser fra øvelse 1 og 2 sammenfatte holdninger, centrale betragtninger og/eller livsanskuelser. I kan med fordel inddrage flere statusopdateringer eller tweets fra Brinkmann i dette for at etablere et bredere billede af ovenstående.</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Kendskab til Albert Camus og dennes eksistentielle perspektiv</w:t>
            </w:r>
          </w:p>
          <w:p w:rsidR="00000000" w:rsidDel="00000000" w:rsidP="00000000" w:rsidRDefault="00000000" w:rsidRPr="00000000" w14:paraId="00000039">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Tekstfokus på Peter Seeberg: “Hjulet” (1962)</w:t>
            </w:r>
          </w:p>
          <w:p w:rsidR="00000000" w:rsidDel="00000000" w:rsidP="00000000" w:rsidRDefault="00000000" w:rsidRPr="00000000" w14:paraId="0000003B">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Komparativ læsning og intertekstualitet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Analysere og fortolke fiktive tekster</w:t>
            </w:r>
          </w:p>
          <w:p w:rsidR="00000000" w:rsidDel="00000000" w:rsidP="00000000" w:rsidRDefault="00000000" w:rsidRPr="00000000" w14:paraId="0000003E">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3F">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Udvikling af fagsprog og indsigt i eksistentielle læsninger</w:t>
            </w:r>
          </w:p>
          <w:p w:rsidR="00000000" w:rsidDel="00000000" w:rsidP="00000000" w:rsidRDefault="00000000" w:rsidRPr="00000000" w14:paraId="00000040">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41">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Perspektiverende og komparative læsninger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Fransk eksistentialisme og Sisyfos-myten, det absurde, fremmede og valgene samt amor fati-begrebet. </w:t>
            </w:r>
          </w:p>
          <w:p w:rsidR="00000000" w:rsidDel="00000000" w:rsidP="00000000" w:rsidRDefault="00000000" w:rsidRPr="00000000" w14:paraId="00000043">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Modernisme og absurdisme.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1:</w:t>
            </w:r>
          </w:p>
          <w:p w:rsidR="00000000" w:rsidDel="00000000" w:rsidP="00000000" w:rsidRDefault="00000000" w:rsidRPr="00000000" w14:paraId="0000004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Forfatterportræt af Peter Seeberg med fokus på eksistentielt fokus, amor fati-begrebet og skrivestil</w:t>
            </w:r>
          </w:p>
          <w:p w:rsidR="00000000" w:rsidDel="00000000" w:rsidP="00000000" w:rsidRDefault="00000000" w:rsidRPr="00000000" w14:paraId="00000047">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2:</w:t>
            </w:r>
          </w:p>
          <w:p w:rsidR="00000000" w:rsidDel="00000000" w:rsidP="00000000" w:rsidRDefault="00000000" w:rsidRPr="00000000" w14:paraId="0000004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Eksistentiel læsning af “Hjulet” af Peter Seeberg med inddragelse af modellen og grundtemaerne fra grundbogen.</w:t>
            </w:r>
          </w:p>
          <w:p w:rsidR="00000000" w:rsidDel="00000000" w:rsidP="00000000" w:rsidRDefault="00000000" w:rsidRPr="00000000" w14:paraId="0000004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Komparativ læsning af “Hjulet” ift. “Sisyfos-myten”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Viden om Jean Paul Sartres syn på eksistentialisme.</w:t>
            </w:r>
          </w:p>
          <w:p w:rsidR="00000000" w:rsidDel="00000000" w:rsidP="00000000" w:rsidRDefault="00000000" w:rsidRPr="00000000" w14:paraId="0000004D">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4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Konkret afsæt i “Eksistentialisme er en humanisme”</w:t>
            </w:r>
          </w:p>
          <w:p w:rsidR="00000000" w:rsidDel="00000000" w:rsidP="00000000" w:rsidRDefault="00000000" w:rsidRPr="00000000" w14:paraId="0000004F">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Tekstfokus på Karen Blixen: “Ringen” (1958)</w:t>
            </w:r>
          </w:p>
          <w:p w:rsidR="00000000" w:rsidDel="00000000" w:rsidP="00000000" w:rsidRDefault="00000000" w:rsidRPr="00000000" w14:paraId="00000051">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Komparativ læsning og intertekstualitet</w:t>
            </w:r>
          </w:p>
          <w:p w:rsidR="00000000" w:rsidDel="00000000" w:rsidP="00000000" w:rsidRDefault="00000000" w:rsidRPr="00000000" w14:paraId="00000053">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Analysere og fortolke fiktive tekster</w:t>
            </w:r>
          </w:p>
          <w:p w:rsidR="00000000" w:rsidDel="00000000" w:rsidP="00000000" w:rsidRDefault="00000000" w:rsidRPr="00000000" w14:paraId="00000055">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56">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Udvikling af fagsprog og indsigt i eksistentielle læsninger</w:t>
            </w:r>
          </w:p>
          <w:p w:rsidR="00000000" w:rsidDel="00000000" w:rsidP="00000000" w:rsidRDefault="00000000" w:rsidRPr="00000000" w14:paraId="00000057">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58">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Perspektiverende og komparative læsninger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Sartre: Angst, valg og handling.</w:t>
            </w:r>
          </w:p>
          <w:p w:rsidR="00000000" w:rsidDel="00000000" w:rsidP="00000000" w:rsidRDefault="00000000" w:rsidRPr="00000000" w14:paraId="0000005A">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Intertekstuelle referencer og komparativ læsning med fokus på bibelske referencer, syndefald og folkeeventyr.</w:t>
            </w:r>
          </w:p>
          <w:p w:rsidR="00000000" w:rsidDel="00000000" w:rsidP="00000000" w:rsidRDefault="00000000" w:rsidRPr="00000000" w14:paraId="0000005C">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D">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1:</w:t>
            </w:r>
          </w:p>
          <w:p w:rsidR="00000000" w:rsidDel="00000000" w:rsidP="00000000" w:rsidRDefault="00000000" w:rsidRPr="00000000" w14:paraId="0000005F">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School of Life, Philosophy: om Sartre: </w:t>
            </w:r>
            <w:hyperlink r:id="rId8">
              <w:r w:rsidDel="00000000" w:rsidR="00000000" w:rsidRPr="00000000">
                <w:rPr>
                  <w:rFonts w:ascii="Garamond" w:cs="Garamond" w:eastAsia="Garamond" w:hAnsi="Garamond"/>
                  <w:color w:val="1155cc"/>
                  <w:sz w:val="20"/>
                  <w:szCs w:val="20"/>
                  <w:u w:val="single"/>
                  <w:rtl w:val="0"/>
                </w:rPr>
                <w:t xml:space="preserve">https://www.youtube.com/watch?v=3bQsZxDQgzU</w:t>
              </w:r>
            </w:hyperlink>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6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 filmen og noter minimum fem fokuspunkter, du/I synes er vigtige i hans filosofi ud fra filmklippet og dagens lektier.</w:t>
            </w:r>
          </w:p>
          <w:p w:rsidR="00000000" w:rsidDel="00000000" w:rsidP="00000000" w:rsidRDefault="00000000" w:rsidRPr="00000000" w14:paraId="00000061">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2:</w:t>
            </w:r>
          </w:p>
          <w:p w:rsidR="00000000" w:rsidDel="00000000" w:rsidP="00000000" w:rsidRDefault="00000000" w:rsidRPr="00000000" w14:paraId="00000063">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Analyse og fortolkning - eksistentiel læsning - af “Ringen inddragelse af modellen og grundtemaerne fra grundbogen.</w:t>
            </w:r>
          </w:p>
          <w:p w:rsidR="00000000" w:rsidDel="00000000" w:rsidP="00000000" w:rsidRDefault="00000000" w:rsidRPr="00000000" w14:paraId="00000064">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3: </w:t>
            </w:r>
          </w:p>
          <w:p w:rsidR="00000000" w:rsidDel="00000000" w:rsidP="00000000" w:rsidRDefault="00000000" w:rsidRPr="00000000" w14:paraId="0000006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En kort digital præsentation i Prezi med centrale pointer og stikord fra analysen og fortolkningen. Præsentationen er afsæt for en fremlæggelse i slutningen af modulet.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Viden om Anthony Giddens syn på eksistentialisme og identitet</w:t>
            </w:r>
          </w:p>
          <w:p w:rsidR="00000000" w:rsidDel="00000000" w:rsidP="00000000" w:rsidRDefault="00000000" w:rsidRPr="00000000" w14:paraId="00000069">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Potentiel indragelse af Erving Goffmans og Joshua Meyrowitz’ perspektiver på “ansigt”/facework. </w:t>
            </w:r>
          </w:p>
          <w:p w:rsidR="00000000" w:rsidDel="00000000" w:rsidP="00000000" w:rsidRDefault="00000000" w:rsidRPr="00000000" w14:paraId="0000006B">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6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Tekstfokus på Caspar Eric: “7/11” (2014)</w:t>
            </w:r>
          </w:p>
          <w:p w:rsidR="00000000" w:rsidDel="00000000" w:rsidP="00000000" w:rsidRDefault="00000000" w:rsidRPr="00000000" w14:paraId="0000006D">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Analysere og fortolke fiktive tekster</w:t>
            </w:r>
          </w:p>
          <w:p w:rsidR="00000000" w:rsidDel="00000000" w:rsidP="00000000" w:rsidRDefault="00000000" w:rsidRPr="00000000" w14:paraId="0000006F">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7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Udvikling af fagsprog og indsigt i eksistentielle læsninger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Senmodernitet, identitetsdannelse, social praksis, selvrefleksivitet og medialisering.</w:t>
            </w:r>
          </w:p>
          <w:p w:rsidR="00000000" w:rsidDel="00000000" w:rsidP="00000000" w:rsidRDefault="00000000" w:rsidRPr="00000000" w14:paraId="00000072">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3">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Front stage, back stage og middle region. </w:t>
            </w:r>
          </w:p>
          <w:p w:rsidR="00000000" w:rsidDel="00000000" w:rsidP="00000000" w:rsidRDefault="00000000" w:rsidRPr="00000000" w14:paraId="0000007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Facework og “ansigtstab”</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1:</w:t>
            </w:r>
          </w:p>
          <w:p w:rsidR="00000000" w:rsidDel="00000000" w:rsidP="00000000" w:rsidRDefault="00000000" w:rsidRPr="00000000" w14:paraId="0000007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Find eksempler på medieprodukter - såsom reklamer og tv-programmer - som tematiserer Giddens teori om identitetsdannelse i senmoderniteten og selvrefleksivitet</w:t>
            </w:r>
          </w:p>
          <w:p w:rsidR="00000000" w:rsidDel="00000000" w:rsidP="00000000" w:rsidRDefault="00000000" w:rsidRPr="00000000" w14:paraId="00000077">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2:</w:t>
            </w:r>
          </w:p>
          <w:p w:rsidR="00000000" w:rsidDel="00000000" w:rsidP="00000000" w:rsidRDefault="00000000" w:rsidRPr="00000000" w14:paraId="0000007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Analyse og fortolkning af “7/11” ud fra Giddens teori med inddragelse af Goffmans/Meyrowitz’ begreber om facework.</w:t>
            </w:r>
          </w:p>
          <w:p w:rsidR="00000000" w:rsidDel="00000000" w:rsidP="00000000" w:rsidRDefault="00000000" w:rsidRPr="00000000" w14:paraId="0000007A">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7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3: </w:t>
            </w:r>
          </w:p>
          <w:p w:rsidR="00000000" w:rsidDel="00000000" w:rsidP="00000000" w:rsidRDefault="00000000" w:rsidRPr="00000000" w14:paraId="0000007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Visualisering af analyse og fortolkning. Lav et mindmap i fx Popplet eller Bubbl.us, hvor du inddrager alle de vigtigste og mest centrale pointer fra analysen. Du skal med andre ord visualisere dit analytiske arbejde, så det formidles simpelt og overskueligt. Dette danner baggrund for en præsentation.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6</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Viden om virkelighedstemaet i dansk litteratur ud fra “Nye øjne at se med” - “Virkelighedstemaet i litteraturen” af Rasmus Grøn og Stine Johannesen</w:t>
            </w:r>
          </w:p>
          <w:p w:rsidR="00000000" w:rsidDel="00000000" w:rsidP="00000000" w:rsidRDefault="00000000" w:rsidRPr="00000000" w14:paraId="0000007F">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Ungdomsidentitet, online/offline identitet</w:t>
            </w:r>
          </w:p>
          <w:p w:rsidR="00000000" w:rsidDel="00000000" w:rsidP="00000000" w:rsidRDefault="00000000" w:rsidRPr="00000000" w14:paraId="00000081">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Tekstfokus på Theis Ørntoft: “Solar” (2018) i uddrag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Kendskab til samtidens litterære tendenser og dets samspil med medieudviklingen</w:t>
            </w:r>
          </w:p>
          <w:p w:rsidR="00000000" w:rsidDel="00000000" w:rsidP="00000000" w:rsidRDefault="00000000" w:rsidRPr="00000000" w14:paraId="00000084">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Analysere og fortolke fiktive tekster</w:t>
            </w:r>
            <w:r w:rsidDel="00000000" w:rsidR="00000000" w:rsidRPr="00000000">
              <w:rPr>
                <w:rtl w:val="0"/>
              </w:rPr>
            </w:r>
          </w:p>
          <w:p w:rsidR="00000000" w:rsidDel="00000000" w:rsidP="00000000" w:rsidRDefault="00000000" w:rsidRPr="00000000" w14:paraId="00000086">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7">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rFonts w:ascii="Garamond" w:cs="Garamond" w:eastAsia="Garamond" w:hAnsi="Garamond"/>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1:</w:t>
            </w:r>
          </w:p>
          <w:p w:rsidR="00000000" w:rsidDel="00000000" w:rsidP="00000000" w:rsidRDefault="00000000" w:rsidRPr="00000000" w14:paraId="0000008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Beskrivelse af centrale karakteristika/nøglebegreber i introduktionen til “Nye øjne at se med” med fokus på genrekoder, subjektivitet, individualisering og globalisering.</w:t>
            </w:r>
          </w:p>
          <w:p w:rsidR="00000000" w:rsidDel="00000000" w:rsidP="00000000" w:rsidRDefault="00000000" w:rsidRPr="00000000" w14:paraId="0000008B">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2:</w:t>
            </w:r>
          </w:p>
          <w:p w:rsidR="00000000" w:rsidDel="00000000" w:rsidP="00000000" w:rsidRDefault="00000000" w:rsidRPr="00000000" w14:paraId="0000008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Analyse og fortolkning af “Solar” (2018) af Theis Ørntoft i en eksistentiel og identitetsorienteret ramme</w:t>
            </w:r>
          </w:p>
          <w:p w:rsidR="00000000" w:rsidDel="00000000" w:rsidP="00000000" w:rsidRDefault="00000000" w:rsidRPr="00000000" w14:paraId="0000008E">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8F">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3: </w:t>
            </w:r>
          </w:p>
          <w:p w:rsidR="00000000" w:rsidDel="00000000" w:rsidP="00000000" w:rsidRDefault="00000000" w:rsidRPr="00000000" w14:paraId="0000009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Individuel refleksionsskrivning over kendetegn ved nyere dansk litteratur og koblingen mellem identitet og eksistens i “Solar”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7</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Identitetsdannelse på sociale medier, flydende identitet</w:t>
            </w:r>
          </w:p>
          <w:p w:rsidR="00000000" w:rsidDel="00000000" w:rsidP="00000000" w:rsidRDefault="00000000" w:rsidRPr="00000000" w14:paraId="00000093">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Analyse af film og tv. Refleksion over nye medieformater.</w:t>
            </w:r>
          </w:p>
          <w:p w:rsidR="00000000" w:rsidDel="00000000" w:rsidP="00000000" w:rsidRDefault="00000000" w:rsidRPr="00000000" w14:paraId="00000095">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Tekstfokus på Black Mirror, S3-E1. Titel: “Nosedive”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Analysere og fortolke fiktive tekster</w:t>
            </w:r>
          </w:p>
          <w:p w:rsidR="00000000" w:rsidDel="00000000" w:rsidP="00000000" w:rsidRDefault="00000000" w:rsidRPr="00000000" w14:paraId="00000098">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99">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Refleksion og perspektivering ift. digital identitet og mediesamfundet</w:t>
            </w:r>
          </w:p>
          <w:p w:rsidR="00000000" w:rsidDel="00000000" w:rsidP="00000000" w:rsidRDefault="00000000" w:rsidRPr="00000000" w14:paraId="0000009A">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9B">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Demonstrere kendskab til digitale mediers indhold og funktion samt indsigt i tilhørende etiske problemstillinger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Filmanalyse, tv-analyse</w:t>
            </w:r>
          </w:p>
          <w:p w:rsidR="00000000" w:rsidDel="00000000" w:rsidP="00000000" w:rsidRDefault="00000000" w:rsidRPr="00000000" w14:paraId="0000009D">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9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Digital identitet og identitetsdannelse på sociale medier</w:t>
            </w:r>
          </w:p>
          <w:p w:rsidR="00000000" w:rsidDel="00000000" w:rsidP="00000000" w:rsidRDefault="00000000" w:rsidRPr="00000000" w14:paraId="0000009F">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Digitaliseret samfund, medialisering og mediekonvergens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1:</w:t>
            </w:r>
          </w:p>
          <w:p w:rsidR="00000000" w:rsidDel="00000000" w:rsidP="00000000" w:rsidRDefault="00000000" w:rsidRPr="00000000" w14:paraId="000000A2">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Visualisering via mindmap over begrebet digital identitet.</w:t>
            </w:r>
          </w:p>
          <w:p w:rsidR="00000000" w:rsidDel="00000000" w:rsidP="00000000" w:rsidRDefault="00000000" w:rsidRPr="00000000" w14:paraId="000000A3">
            <w:pPr>
              <w:numPr>
                <w:ilvl w:val="0"/>
                <w:numId w:val="1"/>
              </w:numPr>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Hvad er digital identitet? </w:t>
            </w:r>
          </w:p>
          <w:p w:rsidR="00000000" w:rsidDel="00000000" w:rsidP="00000000" w:rsidRDefault="00000000" w:rsidRPr="00000000" w14:paraId="000000A4">
            <w:pPr>
              <w:numPr>
                <w:ilvl w:val="0"/>
                <w:numId w:val="1"/>
              </w:numPr>
              <w:ind w:left="72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Hvordan kan det siges at være et tema i nutiden?</w:t>
            </w:r>
          </w:p>
          <w:p w:rsidR="00000000" w:rsidDel="00000000" w:rsidP="00000000" w:rsidRDefault="00000000" w:rsidRPr="00000000" w14:paraId="000000A5">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6">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2:</w:t>
            </w:r>
          </w:p>
          <w:p w:rsidR="00000000" w:rsidDel="00000000" w:rsidP="00000000" w:rsidRDefault="00000000" w:rsidRPr="00000000" w14:paraId="000000A7">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Analyse og fortolkning med fokus på tv-seriens formidling af og fokus på spørgsmålet om identitet i en digitaliseret verden.</w:t>
            </w:r>
          </w:p>
          <w:p w:rsidR="00000000" w:rsidDel="00000000" w:rsidP="00000000" w:rsidRDefault="00000000" w:rsidRPr="00000000" w14:paraId="000000A8">
            <w:pPr>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9">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3:</w:t>
            </w:r>
          </w:p>
          <w:p w:rsidR="00000000" w:rsidDel="00000000" w:rsidP="00000000" w:rsidRDefault="00000000" w:rsidRPr="00000000" w14:paraId="000000AA">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Podcast-produktion</w:t>
            </w:r>
          </w:p>
          <w:p w:rsidR="00000000" w:rsidDel="00000000" w:rsidP="00000000" w:rsidRDefault="00000000" w:rsidRPr="00000000" w14:paraId="000000AB">
            <w:pPr>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 grupper skal eleverne producere korte podcasts med dialog og refleksion over digital identitet med afsæt i øvelserne, afsnittet fra “Black Mirror” og personlige refleksioner.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Modul 8</w:t>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Identitetsudvikling og eksistentielle valg</w:t>
            </w:r>
          </w:p>
          <w:p w:rsidR="00000000" w:rsidDel="00000000" w:rsidP="00000000" w:rsidRDefault="00000000" w:rsidRPr="00000000" w14:paraId="000000AE">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AF">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Koblinger til eksistentialisme ved Sartre og Camus</w:t>
            </w:r>
          </w:p>
          <w:p w:rsidR="00000000" w:rsidDel="00000000" w:rsidP="00000000" w:rsidRDefault="00000000" w:rsidRPr="00000000" w14:paraId="000000B0">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Spilbegreber jf. Bo Kampmann Walther og Thorkild Hanghøj</w:t>
            </w:r>
          </w:p>
          <w:p w:rsidR="00000000" w:rsidDel="00000000" w:rsidP="00000000" w:rsidRDefault="00000000" w:rsidRPr="00000000" w14:paraId="000000B2">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3">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Tekstfokus på computerspillet</w:t>
            </w:r>
          </w:p>
          <w:p w:rsidR="00000000" w:rsidDel="00000000" w:rsidP="00000000" w:rsidRDefault="00000000" w:rsidRPr="00000000" w14:paraId="000000B4">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“The Walking Dead: The Game” af Telltale Games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Fagsprog og -terminologi</w:t>
            </w:r>
          </w:p>
          <w:p w:rsidR="00000000" w:rsidDel="00000000" w:rsidP="00000000" w:rsidRDefault="00000000" w:rsidRPr="00000000" w14:paraId="000000B6">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B7">
            <w:pPr>
              <w:widowControl w:val="0"/>
              <w:spacing w:line="240" w:lineRule="auto"/>
              <w:rPr>
                <w:rFonts w:ascii="Garamond" w:cs="Garamond" w:eastAsia="Garamond" w:hAnsi="Garamond"/>
                <w:sz w:val="18"/>
                <w:szCs w:val="18"/>
              </w:rPr>
            </w:pPr>
            <w:r w:rsidDel="00000000" w:rsidR="00000000" w:rsidRPr="00000000">
              <w:rPr>
                <w:rFonts w:ascii="Garamond" w:cs="Garamond" w:eastAsia="Garamond" w:hAnsi="Garamond"/>
                <w:sz w:val="18"/>
                <w:szCs w:val="18"/>
                <w:rtl w:val="0"/>
              </w:rPr>
              <w:t xml:space="preserve">Analysere og fortolke fiktive tekster</w:t>
            </w:r>
          </w:p>
          <w:p w:rsidR="00000000" w:rsidDel="00000000" w:rsidP="00000000" w:rsidRDefault="00000000" w:rsidRPr="00000000" w14:paraId="000000B8">
            <w:pPr>
              <w:widowControl w:val="0"/>
              <w:spacing w:line="240" w:lineRule="auto"/>
              <w:rPr>
                <w:rFonts w:ascii="Garamond" w:cs="Garamond" w:eastAsia="Garamond" w:hAnsi="Garamond"/>
                <w:sz w:val="18"/>
                <w:szCs w:val="18"/>
              </w:rPr>
            </w:pPr>
            <w:r w:rsidDel="00000000" w:rsidR="00000000" w:rsidRPr="00000000">
              <w:rPr>
                <w:rtl w:val="0"/>
              </w:rPr>
            </w:r>
          </w:p>
          <w:p w:rsidR="00000000" w:rsidDel="00000000" w:rsidP="00000000" w:rsidRDefault="00000000" w:rsidRPr="00000000" w14:paraId="000000B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18"/>
                <w:szCs w:val="18"/>
                <w:rtl w:val="0"/>
              </w:rPr>
              <w:t xml:space="preserve">Demonstrere kendskab til digitale mediers indhold og funktion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Game World / Spilverden</w:t>
            </w:r>
          </w:p>
          <w:p w:rsidR="00000000" w:rsidDel="00000000" w:rsidP="00000000" w:rsidRDefault="00000000" w:rsidRPr="00000000" w14:paraId="000000BB">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Game Mechanincs / Spilmekanikker</w:t>
            </w:r>
          </w:p>
          <w:p w:rsidR="00000000" w:rsidDel="00000000" w:rsidP="00000000" w:rsidRDefault="00000000" w:rsidRPr="00000000" w14:paraId="000000BC">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Gameplay</w:t>
            </w:r>
          </w:p>
          <w:p w:rsidR="00000000" w:rsidDel="00000000" w:rsidP="00000000" w:rsidRDefault="00000000" w:rsidRPr="00000000" w14:paraId="000000BD">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Game Rules</w:t>
            </w:r>
          </w:p>
          <w:p w:rsidR="00000000" w:rsidDel="00000000" w:rsidP="00000000" w:rsidRDefault="00000000" w:rsidRPr="00000000" w14:paraId="000000BE">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Avatar</w:t>
            </w:r>
          </w:p>
          <w:p w:rsidR="00000000" w:rsidDel="00000000" w:rsidP="00000000" w:rsidRDefault="00000000" w:rsidRPr="00000000" w14:paraId="000000BF">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0">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Multimodalitet, affordans og multimodal analysetilgang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1:</w:t>
            </w:r>
          </w:p>
          <w:p w:rsidR="00000000" w:rsidDel="00000000" w:rsidP="00000000" w:rsidRDefault="00000000" w:rsidRPr="00000000" w14:paraId="000000C2">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Spiltid og turtagning. Man spiller sammen på skift - den ikke-spillende tager noter ift. spilbegreber og spillets anvendelse af forskellige udtryksformer (modaliteter). </w:t>
            </w:r>
          </w:p>
          <w:p w:rsidR="00000000" w:rsidDel="00000000" w:rsidP="00000000" w:rsidRDefault="00000000" w:rsidRPr="00000000" w14:paraId="000000C3">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Eleverne skal have spillet 30  min. hjemme inden timen.</w:t>
            </w:r>
          </w:p>
          <w:p w:rsidR="00000000" w:rsidDel="00000000" w:rsidP="00000000" w:rsidRDefault="00000000" w:rsidRPr="00000000" w14:paraId="000000C4">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5">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2:</w:t>
            </w:r>
          </w:p>
          <w:p w:rsidR="00000000" w:rsidDel="00000000" w:rsidP="00000000" w:rsidRDefault="00000000" w:rsidRPr="00000000" w14:paraId="000000C6">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Multimodal og kommunikativ analyse af “Walking Dead” med inddragelse af spilbegreberne </w:t>
            </w:r>
          </w:p>
          <w:p w:rsidR="00000000" w:rsidDel="00000000" w:rsidP="00000000" w:rsidRDefault="00000000" w:rsidRPr="00000000" w14:paraId="000000C7">
            <w:pPr>
              <w:widowControl w:val="0"/>
              <w:spacing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C8">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Øvelse 3:</w:t>
            </w:r>
          </w:p>
          <w:p w:rsidR="00000000" w:rsidDel="00000000" w:rsidP="00000000" w:rsidRDefault="00000000" w:rsidRPr="00000000" w14:paraId="000000C9">
            <w:pPr>
              <w:widowControl w:val="0"/>
              <w:spacing w:line="240" w:lineRule="auto"/>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Plenumdialog om læring ved computerspil samt spillets kobling til eksistentialisme ift. menneskelighed, dødelighed og valget.</w:t>
            </w:r>
          </w:p>
        </w:tc>
      </w:tr>
    </w:tbl>
    <w:p w:rsidR="00000000" w:rsidDel="00000000" w:rsidP="00000000" w:rsidRDefault="00000000" w:rsidRPr="00000000" w14:paraId="000000CA">
      <w:pPr>
        <w:rPr>
          <w:rFonts w:ascii="Garamond" w:cs="Garamond" w:eastAsia="Garamond" w:hAnsi="Garamond"/>
        </w:rPr>
      </w:pPr>
      <w:r w:rsidDel="00000000" w:rsidR="00000000" w:rsidRPr="00000000">
        <w:rPr>
          <w:rtl w:val="0"/>
        </w:rPr>
      </w:r>
    </w:p>
    <w:sectPr>
      <w:footerReference r:id="rId9"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jc w:val="right"/>
      <w:rPr/>
    </w:pPr>
    <w:r w:rsidDel="00000000" w:rsidR="00000000" w:rsidRPr="00000000">
      <w:rPr>
        <w:rFonts w:ascii="Garamond" w:cs="Garamond" w:eastAsia="Garamond" w:hAnsi="Garamond"/>
        <w:sz w:val="20"/>
        <w:szCs w:val="2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eksistentialismeidansk.systime.dk/?id=p255" TargetMode="External"/><Relationship Id="rId7" Type="http://schemas.openxmlformats.org/officeDocument/2006/relationships/hyperlink" Target="https://www.jv.dk/debat/Kan-det-maales-og-vejes-Jeg-staar-og-kigger-ned-i-et-hul/artikel/2550556" TargetMode="External"/><Relationship Id="rId8" Type="http://schemas.openxmlformats.org/officeDocument/2006/relationships/hyperlink" Target="https://www.youtube.com/watch?v=3bQsZxDQgz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