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A3" w:rsidRPr="00C62E45" w:rsidRDefault="00852169" w:rsidP="00C62E45">
      <w:pPr>
        <w:pStyle w:val="Overskrift1"/>
        <w:rPr>
          <w:i/>
          <w:iCs/>
          <w:color w:val="808080" w:themeColor="text1" w:themeTint="7F"/>
          <w:sz w:val="22"/>
          <w:szCs w:val="22"/>
        </w:rPr>
      </w:pPr>
      <w:r w:rsidRPr="00FF1C11">
        <w:rPr>
          <w:noProof/>
          <w:lang w:eastAsia="da-DK"/>
        </w:rPr>
        <w:drawing>
          <wp:anchor distT="0" distB="0" distL="114300" distR="114300" simplePos="0" relativeHeight="251658240" behindDoc="1" locked="0" layoutInCell="1" allowOverlap="1" wp14:anchorId="623DDD01" wp14:editId="7A5448D3">
            <wp:simplePos x="0" y="0"/>
            <wp:positionH relativeFrom="column">
              <wp:posOffset>5421630</wp:posOffset>
            </wp:positionH>
            <wp:positionV relativeFrom="paragraph">
              <wp:posOffset>-566420</wp:posOffset>
            </wp:positionV>
            <wp:extent cx="716280" cy="393065"/>
            <wp:effectExtent l="0" t="0" r="7620" b="6985"/>
            <wp:wrapTight wrapText="bothSides">
              <wp:wrapPolygon edited="0">
                <wp:start x="574" y="0"/>
                <wp:lineTo x="0" y="3141"/>
                <wp:lineTo x="0" y="20937"/>
                <wp:lineTo x="21255" y="20937"/>
                <wp:lineTo x="21255" y="0"/>
                <wp:lineTo x="574"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393065"/>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w:t>
      </w:r>
      <w:r w:rsidRPr="00AE73CD">
        <w:rPr>
          <w:rStyle w:val="Svagfremhvning"/>
          <w:b/>
          <w:sz w:val="22"/>
          <w:szCs w:val="22"/>
        </w:rPr>
        <w:t xml:space="preserve">bilag </w:t>
      </w:r>
      <w:r w:rsidR="00777F09">
        <w:rPr>
          <w:rStyle w:val="Svagfremhvning"/>
          <w:b/>
          <w:sz w:val="22"/>
          <w:szCs w:val="22"/>
        </w:rPr>
        <w:t>7</w:t>
      </w:r>
      <w:r w:rsidR="00AE73CD">
        <w:rPr>
          <w:rStyle w:val="Svagfremhvning"/>
          <w:sz w:val="22"/>
          <w:szCs w:val="22"/>
        </w:rPr>
        <w:t xml:space="preserve"> </w:t>
      </w:r>
      <w:r w:rsidRPr="002F45FC">
        <w:rPr>
          <w:rStyle w:val="Svagfremhvning"/>
          <w:sz w:val="22"/>
          <w:szCs w:val="22"/>
        </w:rPr>
        <w:t xml:space="preserve">er </w:t>
      </w:r>
      <w:r w:rsidR="00AE73CD">
        <w:rPr>
          <w:rStyle w:val="Svagfremhvning"/>
          <w:sz w:val="22"/>
          <w:szCs w:val="22"/>
        </w:rPr>
        <w:t>en del af eksempelmaterialet til</w:t>
      </w:r>
      <w:r w:rsidRPr="002F45FC">
        <w:rPr>
          <w:rStyle w:val="Svagfremhvning"/>
          <w:sz w:val="22"/>
          <w:szCs w:val="22"/>
        </w:rPr>
        <w:t xml:space="preserve"> </w:t>
      </w:r>
      <w:hyperlink r:id="rId10" w:history="1">
        <w:r w:rsidR="00AE73CD" w:rsidRPr="00AE73CD">
          <w:rPr>
            <w:rStyle w:val="Hyperlink"/>
            <w:i/>
            <w:color w:val="C00000"/>
            <w:sz w:val="22"/>
            <w:szCs w:val="22"/>
          </w:rPr>
          <w:t>vejledningen</w:t>
        </w:r>
      </w:hyperlink>
      <w:r w:rsidR="00AC39A3" w:rsidRPr="00AE73CD">
        <w:rPr>
          <w:rStyle w:val="Svagfremhvning"/>
          <w:i w:val="0"/>
          <w:sz w:val="22"/>
          <w:szCs w:val="22"/>
        </w:rPr>
        <w:t xml:space="preserve"> </w:t>
      </w:r>
      <w:r w:rsidR="00C62E45">
        <w:rPr>
          <w:rStyle w:val="Svagfremhvning"/>
          <w:i w:val="0"/>
          <w:sz w:val="22"/>
          <w:szCs w:val="22"/>
        </w:rPr>
        <w:t xml:space="preserve">fra 2019 </w:t>
      </w:r>
      <w:r w:rsidR="00AE73CD" w:rsidRPr="00AE73CD">
        <w:rPr>
          <w:rStyle w:val="Svagfremhvning"/>
          <w:i w:val="0"/>
          <w:sz w:val="22"/>
          <w:szCs w:val="22"/>
        </w:rPr>
        <w:t>for</w:t>
      </w:r>
      <w:r w:rsidR="00AC39A3" w:rsidRPr="00AE73CD">
        <w:rPr>
          <w:rStyle w:val="Svagfremhvning"/>
          <w:i w:val="0"/>
          <w:sz w:val="22"/>
          <w:szCs w:val="22"/>
        </w:rPr>
        <w:t xml:space="preserve"> faget</w:t>
      </w:r>
      <w:r w:rsidR="00380FF5" w:rsidRPr="00AE73CD">
        <w:rPr>
          <w:rStyle w:val="Svagfremhvning"/>
          <w:i w:val="0"/>
          <w:sz w:val="22"/>
          <w:szCs w:val="22"/>
        </w:rPr>
        <w:t xml:space="preserve"> </w:t>
      </w:r>
      <w:hyperlink r:id="rId11" w:history="1">
        <w:r w:rsidR="00AE73CD" w:rsidRPr="00AE73CD">
          <w:rPr>
            <w:rStyle w:val="Hyperlink"/>
            <w:i/>
            <w:color w:val="C00000"/>
            <w:sz w:val="22"/>
            <w:szCs w:val="22"/>
          </w:rPr>
          <w:t>matematik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BC4192">
        <w:rPr>
          <w:rStyle w:val="Svagfremhvning"/>
          <w:sz w:val="22"/>
          <w:szCs w:val="22"/>
        </w:rPr>
        <w:t>.</w:t>
      </w:r>
      <w:r w:rsidR="00AE73CD">
        <w:rPr>
          <w:rStyle w:val="Svagfremhvning"/>
          <w:sz w:val="22"/>
          <w:szCs w:val="22"/>
        </w:rPr>
        <w:br/>
      </w:r>
      <w:r w:rsidR="00E50234" w:rsidRPr="00E50234">
        <w:rPr>
          <w:rStyle w:val="Svagfremhvning"/>
          <w:sz w:val="22"/>
          <w:szCs w:val="22"/>
        </w:rPr>
        <w:t xml:space="preserve">Eksempel på </w:t>
      </w:r>
      <w:r w:rsidR="008D0609">
        <w:rPr>
          <w:rStyle w:val="Svagfremhvning"/>
          <w:sz w:val="22"/>
          <w:szCs w:val="22"/>
        </w:rPr>
        <w:t xml:space="preserve">elevopgave - </w:t>
      </w:r>
      <w:r w:rsidR="00557564">
        <w:rPr>
          <w:rStyle w:val="Svagfremhvning"/>
          <w:sz w:val="22"/>
          <w:szCs w:val="22"/>
        </w:rPr>
        <w:t>læring i bevægelse</w:t>
      </w:r>
      <w:r w:rsidR="00E50234">
        <w:rPr>
          <w:rStyle w:val="Svagfremhvning"/>
          <w:sz w:val="22"/>
          <w:szCs w:val="22"/>
        </w:rPr>
        <w:t>.</w:t>
      </w:r>
      <w:r>
        <w:rPr>
          <w:rStyle w:val="Svagfremhvning"/>
          <w:sz w:val="22"/>
          <w:szCs w:val="22"/>
        </w:rPr>
        <w:br/>
      </w:r>
    </w:p>
    <w:p w:rsidR="00B619BE" w:rsidRDefault="002C7938" w:rsidP="00587548">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198F34BA" wp14:editId="25E6947F">
                <wp:simplePos x="0" y="0"/>
                <wp:positionH relativeFrom="column">
                  <wp:posOffset>13335</wp:posOffset>
                </wp:positionH>
                <wp:positionV relativeFrom="paragraph">
                  <wp:posOffset>527685</wp:posOffset>
                </wp:positionV>
                <wp:extent cx="866775" cy="0"/>
                <wp:effectExtent l="0" t="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22225">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1.55pt" to="69.3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" strokecolor="#ce4b58" strokeweight="1.75pt"/>
            </w:pict>
          </mc:Fallback>
        </mc:AlternateContent>
      </w:r>
      <w:r w:rsidRPr="002C7938">
        <w:t xml:space="preserve"> </w:t>
      </w:r>
      <w:r w:rsidR="00777F09" w:rsidRPr="00777F09">
        <w:rPr>
          <w:rFonts w:asciiTheme="majorHAnsi" w:eastAsiaTheme="majorEastAsia" w:hAnsiTheme="majorHAnsi" w:cs="Times New Roman"/>
          <w:bCs/>
          <w:sz w:val="52"/>
          <w:szCs w:val="52"/>
        </w:rPr>
        <w:t>Elevopgave</w:t>
      </w:r>
      <w:r w:rsidR="00173F6E">
        <w:rPr>
          <w:rFonts w:asciiTheme="majorHAnsi" w:eastAsiaTheme="majorEastAsia" w:hAnsiTheme="majorHAnsi" w:cs="Times New Roman"/>
          <w:bCs/>
          <w:sz w:val="52"/>
          <w:szCs w:val="52"/>
        </w:rPr>
        <w:t>r</w:t>
      </w:r>
      <w:r w:rsidR="00777F09" w:rsidRPr="00777F09">
        <w:rPr>
          <w:rFonts w:asciiTheme="majorHAnsi" w:eastAsiaTheme="majorEastAsia" w:hAnsiTheme="majorHAnsi" w:cs="Times New Roman"/>
          <w:bCs/>
          <w:sz w:val="52"/>
          <w:szCs w:val="52"/>
        </w:rPr>
        <w:t xml:space="preserve"> – læring i bevægelse</w:t>
      </w:r>
    </w:p>
    <w:p w:rsidR="00777F09" w:rsidRDefault="00777F09" w:rsidP="00777F09"/>
    <w:p w:rsidR="002425AC" w:rsidRDefault="00777F09" w:rsidP="00777F09">
      <w:r w:rsidRPr="00777F09">
        <w:t>Læreren skal inddrage bevægelse i undervisningen. Herunder er der en række eksempler, hvor læreren har inddraget forskellige former for bevægelse i sin undervisning. I nogle af eksemplerne indgår bevægelsen i selve løsningen af opgaven. I andre indgår bevægelsen ikke i selve opgaveløsningen, men arbejdet er tilrettelagt, så eleverne skal bevæge sig for at få fat i opgaverne.</w:t>
      </w:r>
    </w:p>
    <w:p w:rsidR="00777F09" w:rsidRDefault="00777F09" w:rsidP="00777F09"/>
    <w:p w:rsidR="00777F09" w:rsidRDefault="00777F09" w:rsidP="00777F09">
      <w:pPr>
        <w:pStyle w:val="Overskrift3"/>
      </w:pPr>
      <w:r>
        <w:t>Elevopgaver</w:t>
      </w:r>
    </w:p>
    <w:p w:rsidR="00777F09" w:rsidRPr="004800D9" w:rsidRDefault="00777F09" w:rsidP="00777F09">
      <w:r w:rsidRPr="004800D9">
        <w:t>Matematikundervisningen foregår i dag ved en række stationer rundt omkring på skolen. Grupperne starter ved hver sin station og går videre til den næste, når beregningerne fra stationen er afleveret på den måde, som er beskrevet ved stationen.</w:t>
      </w:r>
    </w:p>
    <w:p w:rsidR="002C7938" w:rsidRDefault="00777F09" w:rsidP="00777F09">
      <w:r w:rsidRPr="004800D9">
        <w:t xml:space="preserve">I løbet af formiddagen kommer du igennem følgende stationer, hvor du skal arbejde sammen </w:t>
      </w:r>
      <w:r>
        <w:t>med</w:t>
      </w:r>
      <w:r w:rsidRPr="004800D9">
        <w:t xml:space="preserve"> din gruppe:</w:t>
      </w:r>
    </w:p>
    <w:p w:rsidR="00777F09" w:rsidRPr="004800D9" w:rsidRDefault="00777F09" w:rsidP="00777F09">
      <w:r w:rsidRPr="004800D9">
        <w:t>Station 1:</w:t>
      </w:r>
      <w:bookmarkStart w:id="0" w:name="_GoBack"/>
      <w:r w:rsidRPr="00796318">
        <w:rPr>
          <w:color w:val="C00000"/>
        </w:rPr>
        <w:t xml:space="preserve"> </w:t>
      </w:r>
      <w:hyperlink r:id="rId12" w:history="1">
        <w:r w:rsidRPr="00796318">
          <w:rPr>
            <w:rStyle w:val="Hyperlink"/>
            <w:color w:val="C00000"/>
          </w:rPr>
          <w:t>Pythagoras</w:t>
        </w:r>
      </w:hyperlink>
      <w:bookmarkEnd w:id="0"/>
    </w:p>
    <w:p w:rsidR="00777F09" w:rsidRPr="004800D9" w:rsidRDefault="00777F09" w:rsidP="00777F09">
      <w:r w:rsidRPr="004800D9">
        <w:t xml:space="preserve">Station 2: </w:t>
      </w:r>
      <w:hyperlink r:id="rId13" w:history="1">
        <w:r w:rsidRPr="00796318">
          <w:rPr>
            <w:rStyle w:val="Hyperlink"/>
            <w:color w:val="C00000"/>
          </w:rPr>
          <w:t>Rumfang og vægt</w:t>
        </w:r>
      </w:hyperlink>
    </w:p>
    <w:p w:rsidR="00777F09" w:rsidRPr="004800D9" w:rsidRDefault="00777F09" w:rsidP="00777F09">
      <w:r w:rsidRPr="004800D9">
        <w:t xml:space="preserve">Station 3: </w:t>
      </w:r>
      <w:hyperlink r:id="rId14" w:history="1">
        <w:r w:rsidRPr="00796318">
          <w:rPr>
            <w:rStyle w:val="Hyperlink"/>
            <w:color w:val="C00000"/>
          </w:rPr>
          <w:t>Areal</w:t>
        </w:r>
      </w:hyperlink>
    </w:p>
    <w:p w:rsidR="00777F09" w:rsidRPr="004800D9" w:rsidRDefault="00777F09" w:rsidP="00777F09">
      <w:r w:rsidRPr="004800D9">
        <w:t xml:space="preserve">Station 4: </w:t>
      </w:r>
      <w:hyperlink r:id="rId15" w:history="1">
        <w:r w:rsidRPr="00796318">
          <w:rPr>
            <w:rStyle w:val="Hyperlink"/>
            <w:color w:val="C00000"/>
          </w:rPr>
          <w:t>Enheder</w:t>
        </w:r>
      </w:hyperlink>
    </w:p>
    <w:p w:rsidR="00777F09" w:rsidRPr="004800D9" w:rsidRDefault="00777F09" w:rsidP="00777F09">
      <w:r w:rsidRPr="004800D9">
        <w:t xml:space="preserve">Station 5: </w:t>
      </w:r>
      <w:hyperlink r:id="rId16" w:history="1">
        <w:r w:rsidRPr="00796318">
          <w:rPr>
            <w:rStyle w:val="Hyperlink"/>
            <w:color w:val="C00000"/>
          </w:rPr>
          <w:t>Målestoksforhold</w:t>
        </w:r>
      </w:hyperlink>
    </w:p>
    <w:p w:rsidR="00777F09" w:rsidRPr="00796318" w:rsidRDefault="00777F09" w:rsidP="00777F09">
      <w:pPr>
        <w:rPr>
          <w:color w:val="C00000"/>
        </w:rPr>
      </w:pPr>
      <w:r w:rsidRPr="004800D9">
        <w:t xml:space="preserve">Station 6: </w:t>
      </w:r>
      <w:hyperlink r:id="rId17" w:history="1">
        <w:r w:rsidRPr="00796318">
          <w:rPr>
            <w:rStyle w:val="Hyperlink"/>
            <w:color w:val="C00000"/>
          </w:rPr>
          <w:t>Trekanter og trekantstyper</w:t>
        </w:r>
      </w:hyperlink>
    </w:p>
    <w:p w:rsidR="00777F09" w:rsidRDefault="00777F09" w:rsidP="00777F09"/>
    <w:sectPr w:rsidR="00777F09" w:rsidSect="002425AC">
      <w:footerReference w:type="default" r:id="rId18"/>
      <w:pgSz w:w="11906" w:h="16838"/>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11" w:rsidRDefault="002C5A11" w:rsidP="002C5A11">
      <w:pPr>
        <w:spacing w:after="0" w:line="240" w:lineRule="auto"/>
      </w:pPr>
      <w:r>
        <w:separator/>
      </w:r>
    </w:p>
  </w:endnote>
  <w:endnote w:type="continuationSeparator" w:id="0">
    <w:p w:rsidR="002C5A11" w:rsidRDefault="002C5A11" w:rsidP="002C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704145"/>
      <w:docPartObj>
        <w:docPartGallery w:val="Page Numbers (Bottom of Page)"/>
        <w:docPartUnique/>
      </w:docPartObj>
    </w:sdtPr>
    <w:sdtEndPr/>
    <w:sdtContent>
      <w:p w:rsidR="002C5A11" w:rsidRDefault="002C5A11">
        <w:pPr>
          <w:pStyle w:val="Sidefod"/>
          <w:jc w:val="right"/>
        </w:pPr>
        <w:r>
          <w:fldChar w:fldCharType="begin"/>
        </w:r>
        <w:r>
          <w:instrText>PAGE   \* MERGEFORMAT</w:instrText>
        </w:r>
        <w:r>
          <w:fldChar w:fldCharType="separate"/>
        </w:r>
        <w:r w:rsidR="00796318">
          <w:rPr>
            <w:noProof/>
          </w:rPr>
          <w:t>1</w:t>
        </w:r>
        <w:r>
          <w:fldChar w:fldCharType="end"/>
        </w:r>
      </w:p>
    </w:sdtContent>
  </w:sdt>
  <w:p w:rsidR="002C5A11" w:rsidRDefault="002C5A1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11" w:rsidRDefault="002C5A11" w:rsidP="002C5A11">
      <w:pPr>
        <w:spacing w:after="0" w:line="240" w:lineRule="auto"/>
      </w:pPr>
      <w:r>
        <w:separator/>
      </w:r>
    </w:p>
  </w:footnote>
  <w:footnote w:type="continuationSeparator" w:id="0">
    <w:p w:rsidR="002C5A11" w:rsidRDefault="002C5A11" w:rsidP="002C5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1EB"/>
    <w:multiLevelType w:val="hybridMultilevel"/>
    <w:tmpl w:val="4B9C2B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312056E"/>
    <w:multiLevelType w:val="hybridMultilevel"/>
    <w:tmpl w:val="508EAEFC"/>
    <w:lvl w:ilvl="0" w:tplc="CA6AFDB2">
      <w:numFmt w:val="bullet"/>
      <w:lvlText w:val="•"/>
      <w:lvlJc w:val="left"/>
      <w:pPr>
        <w:ind w:left="1668" w:hanging="1308"/>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35E557E"/>
    <w:multiLevelType w:val="multilevel"/>
    <w:tmpl w:val="2728B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6C5709C"/>
    <w:multiLevelType w:val="hybridMultilevel"/>
    <w:tmpl w:val="859060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F9F6E9F"/>
    <w:multiLevelType w:val="hybridMultilevel"/>
    <w:tmpl w:val="2C46FA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0F23F11"/>
    <w:multiLevelType w:val="multilevel"/>
    <w:tmpl w:val="62B64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2B430AE"/>
    <w:multiLevelType w:val="hybridMultilevel"/>
    <w:tmpl w:val="552279D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3F60557"/>
    <w:multiLevelType w:val="hybridMultilevel"/>
    <w:tmpl w:val="F53CC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43D2537"/>
    <w:multiLevelType w:val="multilevel"/>
    <w:tmpl w:val="F360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56171B4"/>
    <w:multiLevelType w:val="hybridMultilevel"/>
    <w:tmpl w:val="8BDAC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8815492"/>
    <w:multiLevelType w:val="hybridMultilevel"/>
    <w:tmpl w:val="79A88274"/>
    <w:lvl w:ilvl="0" w:tplc="5DD8A62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A5A31B4"/>
    <w:multiLevelType w:val="multilevel"/>
    <w:tmpl w:val="E48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1D713C35"/>
    <w:multiLevelType w:val="hybridMultilevel"/>
    <w:tmpl w:val="1FDCA62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1DF613CE"/>
    <w:multiLevelType w:val="hybridMultilevel"/>
    <w:tmpl w:val="CF244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1F5D65AF"/>
    <w:multiLevelType w:val="hybridMultilevel"/>
    <w:tmpl w:val="A7E48398"/>
    <w:lvl w:ilvl="0" w:tplc="CA6AFDB2">
      <w:numFmt w:val="bullet"/>
      <w:lvlText w:val="•"/>
      <w:lvlJc w:val="left"/>
      <w:pPr>
        <w:ind w:left="1308" w:hanging="1308"/>
      </w:pPr>
      <w:rPr>
        <w:rFonts w:ascii="Verdana" w:eastAsiaTheme="minorHAnsi" w:hAnsi="Verdana"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2039528A"/>
    <w:multiLevelType w:val="multilevel"/>
    <w:tmpl w:val="A3740F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31E65AA"/>
    <w:multiLevelType w:val="hybridMultilevel"/>
    <w:tmpl w:val="14208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23580CE7"/>
    <w:multiLevelType w:val="hybridMultilevel"/>
    <w:tmpl w:val="669C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25B84BB4"/>
    <w:multiLevelType w:val="hybridMultilevel"/>
    <w:tmpl w:val="2A44B7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30D2194D"/>
    <w:multiLevelType w:val="hybridMultilevel"/>
    <w:tmpl w:val="3818728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31386578"/>
    <w:multiLevelType w:val="hybridMultilevel"/>
    <w:tmpl w:val="137E1022"/>
    <w:lvl w:ilvl="0" w:tplc="CA6AFDB2">
      <w:numFmt w:val="bullet"/>
      <w:lvlText w:val="•"/>
      <w:lvlJc w:val="left"/>
      <w:pPr>
        <w:ind w:left="1668" w:hanging="1308"/>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32064D6A"/>
    <w:multiLevelType w:val="multilevel"/>
    <w:tmpl w:val="53D4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3252A6F"/>
    <w:multiLevelType w:val="hybridMultilevel"/>
    <w:tmpl w:val="648841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48432D4"/>
    <w:multiLevelType w:val="multilevel"/>
    <w:tmpl w:val="473A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6950387"/>
    <w:multiLevelType w:val="hybridMultilevel"/>
    <w:tmpl w:val="ECC01F5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4">
    <w:nsid w:val="4E5963CF"/>
    <w:multiLevelType w:val="multilevel"/>
    <w:tmpl w:val="5E927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4F314837"/>
    <w:multiLevelType w:val="multilevel"/>
    <w:tmpl w:val="65FA9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52F67135"/>
    <w:multiLevelType w:val="hybridMultilevel"/>
    <w:tmpl w:val="34062B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58B71E95"/>
    <w:multiLevelType w:val="hybridMultilevel"/>
    <w:tmpl w:val="E4CAAA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58C67E1B"/>
    <w:multiLevelType w:val="hybridMultilevel"/>
    <w:tmpl w:val="47BC4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60624B9B"/>
    <w:multiLevelType w:val="hybridMultilevel"/>
    <w:tmpl w:val="A1D87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64025B0D"/>
    <w:multiLevelType w:val="hybridMultilevel"/>
    <w:tmpl w:val="A8B2443E"/>
    <w:lvl w:ilvl="0" w:tplc="2EEC623A">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6F5C6FE0"/>
    <w:multiLevelType w:val="hybridMultilevel"/>
    <w:tmpl w:val="F1E6A090"/>
    <w:lvl w:ilvl="0" w:tplc="CA6AFDB2">
      <w:numFmt w:val="bullet"/>
      <w:lvlText w:val="•"/>
      <w:lvlJc w:val="left"/>
      <w:pPr>
        <w:ind w:left="1668" w:hanging="1308"/>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70A131EA"/>
    <w:multiLevelType w:val="multilevel"/>
    <w:tmpl w:val="2A9C0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5"/>
  </w:num>
  <w:num w:numId="3">
    <w:abstractNumId w:val="29"/>
  </w:num>
  <w:num w:numId="4">
    <w:abstractNumId w:val="16"/>
  </w:num>
  <w:num w:numId="5">
    <w:abstractNumId w:val="37"/>
  </w:num>
  <w:num w:numId="6">
    <w:abstractNumId w:val="42"/>
  </w:num>
  <w:num w:numId="7">
    <w:abstractNumId w:val="5"/>
  </w:num>
  <w:num w:numId="8">
    <w:abstractNumId w:val="30"/>
  </w:num>
  <w:num w:numId="9">
    <w:abstractNumId w:val="7"/>
  </w:num>
  <w:num w:numId="10">
    <w:abstractNumId w:val="4"/>
  </w:num>
  <w:num w:numId="11">
    <w:abstractNumId w:val="8"/>
  </w:num>
  <w:num w:numId="12">
    <w:abstractNumId w:val="15"/>
  </w:num>
  <w:num w:numId="13">
    <w:abstractNumId w:val="6"/>
  </w:num>
  <w:num w:numId="14">
    <w:abstractNumId w:val="21"/>
  </w:num>
  <w:num w:numId="15">
    <w:abstractNumId w:val="2"/>
  </w:num>
  <w:num w:numId="16">
    <w:abstractNumId w:val="35"/>
  </w:num>
  <w:num w:numId="17">
    <w:abstractNumId w:val="24"/>
  </w:num>
  <w:num w:numId="18">
    <w:abstractNumId w:val="22"/>
  </w:num>
  <w:num w:numId="19">
    <w:abstractNumId w:val="11"/>
  </w:num>
  <w:num w:numId="20">
    <w:abstractNumId w:val="17"/>
  </w:num>
  <w:num w:numId="21">
    <w:abstractNumId w:val="12"/>
  </w:num>
  <w:num w:numId="22">
    <w:abstractNumId w:val="9"/>
  </w:num>
  <w:num w:numId="23">
    <w:abstractNumId w:val="28"/>
  </w:num>
  <w:num w:numId="24">
    <w:abstractNumId w:val="32"/>
  </w:num>
  <w:num w:numId="25">
    <w:abstractNumId w:val="23"/>
  </w:num>
  <w:num w:numId="26">
    <w:abstractNumId w:val="13"/>
  </w:num>
  <w:num w:numId="27">
    <w:abstractNumId w:val="31"/>
  </w:num>
  <w:num w:numId="28">
    <w:abstractNumId w:val="40"/>
  </w:num>
  <w:num w:numId="29">
    <w:abstractNumId w:val="44"/>
  </w:num>
  <w:num w:numId="30">
    <w:abstractNumId w:val="18"/>
  </w:num>
  <w:num w:numId="31">
    <w:abstractNumId w:val="33"/>
  </w:num>
  <w:num w:numId="32">
    <w:abstractNumId w:val="39"/>
  </w:num>
  <w:num w:numId="33">
    <w:abstractNumId w:val="1"/>
  </w:num>
  <w:num w:numId="34">
    <w:abstractNumId w:val="27"/>
  </w:num>
  <w:num w:numId="35">
    <w:abstractNumId w:val="20"/>
  </w:num>
  <w:num w:numId="36">
    <w:abstractNumId w:val="14"/>
  </w:num>
  <w:num w:numId="37">
    <w:abstractNumId w:val="3"/>
  </w:num>
  <w:num w:numId="38">
    <w:abstractNumId w:val="0"/>
  </w:num>
  <w:num w:numId="39">
    <w:abstractNumId w:val="36"/>
  </w:num>
  <w:num w:numId="40">
    <w:abstractNumId w:val="34"/>
    <w:lvlOverride w:ilvl="0"/>
    <w:lvlOverride w:ilvl="1">
      <w:startOverride w:val="1"/>
    </w:lvlOverride>
    <w:lvlOverride w:ilvl="2"/>
    <w:lvlOverride w:ilvl="3"/>
    <w:lvlOverride w:ilvl="4"/>
    <w:lvlOverride w:ilvl="5"/>
    <w:lvlOverride w:ilvl="6"/>
    <w:lvlOverride w:ilvl="7"/>
    <w:lvlOverride w:ilvl="8"/>
  </w:num>
  <w:num w:numId="41">
    <w:abstractNumId w:val="10"/>
  </w:num>
  <w:num w:numId="42">
    <w:abstractNumId w:val="43"/>
  </w:num>
  <w:num w:numId="43">
    <w:abstractNumId w:val="41"/>
  </w:num>
  <w:num w:numId="44">
    <w:abstractNumId w:val="2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10217"/>
    <w:rsid w:val="00080597"/>
    <w:rsid w:val="000C62A2"/>
    <w:rsid w:val="000F71EA"/>
    <w:rsid w:val="0011579B"/>
    <w:rsid w:val="00141B83"/>
    <w:rsid w:val="0015088F"/>
    <w:rsid w:val="001730D4"/>
    <w:rsid w:val="00173F6E"/>
    <w:rsid w:val="001C51DC"/>
    <w:rsid w:val="001F1F6D"/>
    <w:rsid w:val="002425AC"/>
    <w:rsid w:val="00253180"/>
    <w:rsid w:val="002869EA"/>
    <w:rsid w:val="00290859"/>
    <w:rsid w:val="002A57C4"/>
    <w:rsid w:val="002C5A11"/>
    <w:rsid w:val="002C7938"/>
    <w:rsid w:val="002E059C"/>
    <w:rsid w:val="002F45FC"/>
    <w:rsid w:val="00311081"/>
    <w:rsid w:val="00331B89"/>
    <w:rsid w:val="00332B35"/>
    <w:rsid w:val="00380FF5"/>
    <w:rsid w:val="003E1FD2"/>
    <w:rsid w:val="004823A9"/>
    <w:rsid w:val="004E6C69"/>
    <w:rsid w:val="00557564"/>
    <w:rsid w:val="00572AF3"/>
    <w:rsid w:val="00587548"/>
    <w:rsid w:val="005A1005"/>
    <w:rsid w:val="005C503D"/>
    <w:rsid w:val="00654B10"/>
    <w:rsid w:val="006800CE"/>
    <w:rsid w:val="006A36A0"/>
    <w:rsid w:val="006A48AB"/>
    <w:rsid w:val="006C39DB"/>
    <w:rsid w:val="007114EE"/>
    <w:rsid w:val="0074659C"/>
    <w:rsid w:val="00777F09"/>
    <w:rsid w:val="00796318"/>
    <w:rsid w:val="008311E5"/>
    <w:rsid w:val="008339F5"/>
    <w:rsid w:val="00852169"/>
    <w:rsid w:val="008904DA"/>
    <w:rsid w:val="008A669C"/>
    <w:rsid w:val="008D0609"/>
    <w:rsid w:val="008D7846"/>
    <w:rsid w:val="009E0F53"/>
    <w:rsid w:val="009E6EFD"/>
    <w:rsid w:val="00A2431F"/>
    <w:rsid w:val="00A61366"/>
    <w:rsid w:val="00AB3D00"/>
    <w:rsid w:val="00AC39A3"/>
    <w:rsid w:val="00AE73CD"/>
    <w:rsid w:val="00B619BE"/>
    <w:rsid w:val="00BC4192"/>
    <w:rsid w:val="00C62E45"/>
    <w:rsid w:val="00CB2F08"/>
    <w:rsid w:val="00CE772E"/>
    <w:rsid w:val="00D1042A"/>
    <w:rsid w:val="00D52019"/>
    <w:rsid w:val="00D60034"/>
    <w:rsid w:val="00D60C7A"/>
    <w:rsid w:val="00D72529"/>
    <w:rsid w:val="00D86BD3"/>
    <w:rsid w:val="00DC06F5"/>
    <w:rsid w:val="00E50234"/>
    <w:rsid w:val="00EA281B"/>
    <w:rsid w:val="00EF1C5E"/>
    <w:rsid w:val="00F422A0"/>
    <w:rsid w:val="00F55E1A"/>
    <w:rsid w:val="00F65523"/>
    <w:rsid w:val="00F94821"/>
    <w:rsid w:val="00FB68CB"/>
    <w:rsid w:val="00FD4C62"/>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 w:type="character" w:styleId="Kommentarhenvisning">
    <w:name w:val="annotation reference"/>
    <w:basedOn w:val="Standardskrifttypeiafsnit"/>
    <w:uiPriority w:val="99"/>
    <w:semiHidden/>
    <w:unhideWhenUsed/>
    <w:rsid w:val="00777F09"/>
    <w:rPr>
      <w:sz w:val="16"/>
      <w:szCs w:val="16"/>
      <w:lang w:val="da-DK"/>
    </w:rPr>
  </w:style>
  <w:style w:type="paragraph" w:styleId="Kommentartekst">
    <w:name w:val="annotation text"/>
    <w:basedOn w:val="Normal"/>
    <w:link w:val="KommentartekstTegn"/>
    <w:uiPriority w:val="99"/>
    <w:semiHidden/>
    <w:unhideWhenUsed/>
    <w:rsid w:val="00777F09"/>
    <w:pPr>
      <w:spacing w:line="240" w:lineRule="auto"/>
    </w:pPr>
    <w:rPr>
      <w:rFonts w:asciiTheme="minorHAnsi" w:hAnsiTheme="minorHAnsi"/>
    </w:rPr>
  </w:style>
  <w:style w:type="character" w:customStyle="1" w:styleId="KommentartekstTegn">
    <w:name w:val="Kommentartekst Tegn"/>
    <w:basedOn w:val="Standardskrifttypeiafsnit"/>
    <w:link w:val="Kommentartekst"/>
    <w:uiPriority w:val="99"/>
    <w:semiHidden/>
    <w:rsid w:val="00777F0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 w:type="character" w:styleId="Kommentarhenvisning">
    <w:name w:val="annotation reference"/>
    <w:basedOn w:val="Standardskrifttypeiafsnit"/>
    <w:uiPriority w:val="99"/>
    <w:semiHidden/>
    <w:unhideWhenUsed/>
    <w:rsid w:val="00777F09"/>
    <w:rPr>
      <w:sz w:val="16"/>
      <w:szCs w:val="16"/>
      <w:lang w:val="da-DK"/>
    </w:rPr>
  </w:style>
  <w:style w:type="paragraph" w:styleId="Kommentartekst">
    <w:name w:val="annotation text"/>
    <w:basedOn w:val="Normal"/>
    <w:link w:val="KommentartekstTegn"/>
    <w:uiPriority w:val="99"/>
    <w:semiHidden/>
    <w:unhideWhenUsed/>
    <w:rsid w:val="00777F09"/>
    <w:pPr>
      <w:spacing w:line="240" w:lineRule="auto"/>
    </w:pPr>
    <w:rPr>
      <w:rFonts w:asciiTheme="minorHAnsi" w:hAnsiTheme="minorHAnsi"/>
    </w:rPr>
  </w:style>
  <w:style w:type="character" w:customStyle="1" w:styleId="KommentartekstTegn">
    <w:name w:val="Kommentartekst Tegn"/>
    <w:basedOn w:val="Standardskrifttypeiafsnit"/>
    <w:link w:val="Kommentartekst"/>
    <w:uiPriority w:val="99"/>
    <w:semiHidden/>
    <w:rsid w:val="00777F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697">
      <w:bodyDiv w:val="1"/>
      <w:marLeft w:val="0"/>
      <w:marRight w:val="0"/>
      <w:marTop w:val="0"/>
      <w:marBottom w:val="0"/>
      <w:divBdr>
        <w:top w:val="none" w:sz="0" w:space="0" w:color="auto"/>
        <w:left w:val="none" w:sz="0" w:space="0" w:color="auto"/>
        <w:bottom w:val="none" w:sz="0" w:space="0" w:color="auto"/>
        <w:right w:val="none" w:sz="0" w:space="0" w:color="auto"/>
      </w:divBdr>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9544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u.dk/sites/default/files/2019-06/Bilag%207b%20Eksempel%20p%C3%A5%20l%C3%A6ring%20i%20bev%C3%A6gelse%20-%20rumfang%20og%20v%C3%A6gt.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u.dk/sites/default/files/2019-06/Bilag%207a%20Eksempel%20p%C3%A5%20l%C3%A6ring%20i%20bev%C3%A6gelse%20-%20pythagoras.docx" TargetMode="External"/><Relationship Id="rId17" Type="http://schemas.openxmlformats.org/officeDocument/2006/relationships/hyperlink" Target="https://emu.dk/sites/default/files/2019-06/Bilag%207f%20Eksempel%20p%C3%A5%20l%C3%A6ring%20i%20bev%C3%A6gelse%20-%20trekanter%20og%20trekantstyper.docx" TargetMode="External"/><Relationship Id="rId2" Type="http://schemas.openxmlformats.org/officeDocument/2006/relationships/numbering" Target="numbering.xml"/><Relationship Id="rId16" Type="http://schemas.openxmlformats.org/officeDocument/2006/relationships/hyperlink" Target="https://emu.dk/sites/default/files/2019-06/Bilag%207e%20Eksempel%20p%C3%A5%20l%C3%A6ring%20i%20bev%C3%A6gelse%20-%20m%C3%A5lestoksforhold.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u.dk/eud/matematik" TargetMode="External"/><Relationship Id="rId5" Type="http://schemas.openxmlformats.org/officeDocument/2006/relationships/settings" Target="settings.xml"/><Relationship Id="rId15" Type="http://schemas.openxmlformats.org/officeDocument/2006/relationships/hyperlink" Target="https://emu.dk/sites/default/files/2019-06/Bilag%207d%20Eksempel%20p%C3%A5%20l%C3%A6ring%20i%20bev%C3%A6gelse%20-%20enheder.docx" TargetMode="External"/><Relationship Id="rId10" Type="http://schemas.openxmlformats.org/officeDocument/2006/relationships/hyperlink" Target="https://emu.dk/eud/matematik/fagbilag-vejledning-og-prove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mu.dk/sites/default/files/2019-06/Bilag%207c%20Eksempel%20p%C3%A5%20l%C3%A6ring%20i%20bev%C3%A6gelse%20-%20areal.doc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99D53-682B-4EEA-AF7D-5668E334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4</cp:revision>
  <cp:lastPrinted>2019-01-09T14:05:00Z</cp:lastPrinted>
  <dcterms:created xsi:type="dcterms:W3CDTF">2019-06-12T07:02:00Z</dcterms:created>
  <dcterms:modified xsi:type="dcterms:W3CDTF">2019-06-12T07:02:00Z</dcterms:modified>
</cp:coreProperties>
</file>