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72" w:rsidRDefault="00852169" w:rsidP="00CB4637">
      <w:pPr>
        <w:pStyle w:val="Overskrift1"/>
        <w:rPr>
          <w:rStyle w:val="Svagfremhvning"/>
          <w:i w:val="0"/>
          <w:sz w:val="22"/>
          <w:szCs w:val="22"/>
        </w:rPr>
      </w:pPr>
      <w:r w:rsidRPr="00CA7E72">
        <w:rPr>
          <w:rStyle w:val="Svagfremhvning"/>
          <w:sz w:val="22"/>
          <w:szCs w:val="22"/>
        </w:rPr>
        <w:t>Dette bilag</w:t>
      </w:r>
      <w:r w:rsidRPr="00CA7E72">
        <w:rPr>
          <w:rStyle w:val="Svagfremhvning"/>
          <w:b/>
          <w:sz w:val="22"/>
          <w:szCs w:val="22"/>
        </w:rPr>
        <w:t xml:space="preserve"> </w:t>
      </w:r>
      <w:r w:rsidRPr="00CA7E72">
        <w:rPr>
          <w:rStyle w:val="Svagfremhvning"/>
          <w:sz w:val="22"/>
          <w:szCs w:val="22"/>
        </w:rPr>
        <w:t xml:space="preserve">er </w:t>
      </w:r>
      <w:r w:rsidR="00AE73CD" w:rsidRPr="00CA7E72">
        <w:rPr>
          <w:rStyle w:val="Svagfremhvning"/>
          <w:sz w:val="22"/>
          <w:szCs w:val="22"/>
        </w:rPr>
        <w:t xml:space="preserve">en del af </w:t>
      </w:r>
      <w:r w:rsidR="00CA7E72" w:rsidRPr="00CA7E72">
        <w:rPr>
          <w:rStyle w:val="Svagfremhvning"/>
          <w:sz w:val="22"/>
          <w:szCs w:val="22"/>
        </w:rPr>
        <w:t>artiklen</w:t>
      </w:r>
      <w:r w:rsidRPr="00CA7E72">
        <w:rPr>
          <w:rStyle w:val="Svagfremhvning"/>
          <w:sz w:val="22"/>
          <w:szCs w:val="22"/>
        </w:rPr>
        <w:t xml:space="preserve"> </w:t>
      </w:r>
      <w:hyperlink r:id="rId8" w:history="1">
        <w:r w:rsidR="00CA7E72" w:rsidRPr="00CA7E72">
          <w:rPr>
            <w:rStyle w:val="Hyperlink"/>
            <w:i/>
            <w:color w:val="C00000"/>
            <w:sz w:val="22"/>
            <w:szCs w:val="22"/>
          </w:rPr>
          <w:t>Engineering som arbejdsform</w:t>
        </w:r>
      </w:hyperlink>
      <w:r w:rsidR="00C62E45" w:rsidRPr="00CA7E72">
        <w:rPr>
          <w:rStyle w:val="Svagfremhvning"/>
          <w:color w:val="C00000"/>
          <w:sz w:val="22"/>
          <w:szCs w:val="22"/>
        </w:rPr>
        <w:t xml:space="preserve"> </w:t>
      </w:r>
      <w:r w:rsidR="00FE123C">
        <w:rPr>
          <w:rStyle w:val="Svagfremhvning"/>
          <w:sz w:val="22"/>
          <w:szCs w:val="22"/>
        </w:rPr>
        <w:t>til</w:t>
      </w:r>
      <w:r w:rsidR="00AC39A3" w:rsidRPr="00CA7E72">
        <w:rPr>
          <w:rStyle w:val="Svagfremhvning"/>
          <w:sz w:val="22"/>
          <w:szCs w:val="22"/>
        </w:rPr>
        <w:t xml:space="preserve"> faget</w:t>
      </w:r>
      <w:r w:rsidR="00380FF5" w:rsidRPr="00CA7E72">
        <w:rPr>
          <w:rStyle w:val="Svagfremhvning"/>
          <w:sz w:val="22"/>
          <w:szCs w:val="22"/>
        </w:rPr>
        <w:t xml:space="preserve"> </w:t>
      </w:r>
      <w:hyperlink r:id="rId9" w:history="1">
        <w:r w:rsidR="00CA7E72" w:rsidRPr="00CA7E72">
          <w:rPr>
            <w:rStyle w:val="Hyperlink"/>
            <w:color w:val="C00000"/>
            <w:sz w:val="22"/>
            <w:szCs w:val="22"/>
          </w:rPr>
          <w:t>naturfag</w:t>
        </w:r>
      </w:hyperlink>
      <w:r w:rsidRPr="00CA7E72">
        <w:rPr>
          <w:rStyle w:val="Svagfremhvning"/>
          <w:sz w:val="22"/>
          <w:szCs w:val="22"/>
        </w:rPr>
        <w:t xml:space="preserve"> </w:t>
      </w:r>
      <w:r w:rsidR="00AB3D00" w:rsidRPr="00CA7E72">
        <w:rPr>
          <w:rStyle w:val="Svagfremhvning"/>
          <w:sz w:val="22"/>
          <w:szCs w:val="22"/>
        </w:rPr>
        <w:t>på emu.</w:t>
      </w:r>
      <w:r w:rsidR="00380FF5" w:rsidRPr="00CA7E72">
        <w:rPr>
          <w:rStyle w:val="Svagfremhvning"/>
          <w:sz w:val="22"/>
          <w:szCs w:val="22"/>
        </w:rPr>
        <w:t>dk</w:t>
      </w:r>
      <w:r w:rsidR="00BC4192" w:rsidRPr="00CA7E72">
        <w:rPr>
          <w:rStyle w:val="Svagfremhvning"/>
          <w:i w:val="0"/>
          <w:sz w:val="22"/>
          <w:szCs w:val="22"/>
        </w:rPr>
        <w:t>.</w:t>
      </w:r>
      <w:r w:rsidR="00D73B3E">
        <w:rPr>
          <w:rStyle w:val="Svagfremhvning"/>
          <w:i w:val="0"/>
          <w:sz w:val="22"/>
          <w:szCs w:val="22"/>
        </w:rPr>
        <w:t xml:space="preserve"> </w:t>
      </w:r>
      <w:r w:rsidR="00FE123C">
        <w:rPr>
          <w:rStyle w:val="Svagfremhvning"/>
          <w:sz w:val="22"/>
          <w:szCs w:val="22"/>
        </w:rPr>
        <w:t>L</w:t>
      </w:r>
      <w:r w:rsidR="00CA7E72" w:rsidRPr="00CA7E72">
        <w:rPr>
          <w:rStyle w:val="Svagfremhvning"/>
          <w:sz w:val="22"/>
          <w:szCs w:val="22"/>
        </w:rPr>
        <w:t>æreren kan bruge skemaet i planlægningen til at lade sig inspirere til hvor struktureret, guidet eller åbent de forskellige delprocesser i EDP-modellen skal tilrettelægges for eleverne</w:t>
      </w:r>
      <w:r w:rsidR="00CA7E72">
        <w:rPr>
          <w:rStyle w:val="Svagfremhvning"/>
          <w:sz w:val="22"/>
          <w:szCs w:val="22"/>
        </w:rPr>
        <w:t>.</w:t>
      </w:r>
      <w:bookmarkStart w:id="0" w:name="_GoBack"/>
      <w:bookmarkEnd w:id="0"/>
    </w:p>
    <w:p w:rsidR="00CA7E72" w:rsidRDefault="00D77DC1" w:rsidP="00CF0247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54803" wp14:editId="206892FA">
                <wp:simplePos x="0" y="0"/>
                <wp:positionH relativeFrom="column">
                  <wp:posOffset>13335</wp:posOffset>
                </wp:positionH>
                <wp:positionV relativeFrom="paragraph">
                  <wp:posOffset>436880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EAC42" id="Lige forbindels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4.4pt" to="69.3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" strokecolor="#ce4b58" strokeweight="1.75pt"/>
            </w:pict>
          </mc:Fallback>
        </mc:AlternateContent>
      </w:r>
      <w:proofErr w:type="spellStart"/>
      <w:r w:rsidR="00CA7E72">
        <w:rPr>
          <w:rFonts w:asciiTheme="majorHAnsi" w:eastAsiaTheme="majorEastAsia" w:hAnsiTheme="majorHAnsi" w:cs="Times New Roman"/>
          <w:bCs/>
          <w:sz w:val="52"/>
          <w:szCs w:val="52"/>
        </w:rPr>
        <w:t>M</w:t>
      </w:r>
      <w:r w:rsidR="00CA7E72" w:rsidRPr="00CA7E72">
        <w:rPr>
          <w:rFonts w:asciiTheme="majorHAnsi" w:eastAsiaTheme="majorEastAsia" w:hAnsiTheme="majorHAnsi" w:cs="Times New Roman"/>
          <w:bCs/>
          <w:sz w:val="52"/>
          <w:szCs w:val="52"/>
        </w:rPr>
        <w:t>ålopfyldelsesrubric</w:t>
      </w:r>
      <w:proofErr w:type="spellEnd"/>
    </w:p>
    <w:tbl>
      <w:tblPr>
        <w:tblStyle w:val="TableNormal"/>
        <w:tblW w:w="9162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837"/>
        <w:gridCol w:w="1837"/>
        <w:gridCol w:w="2021"/>
        <w:gridCol w:w="2044"/>
      </w:tblGrid>
      <w:tr w:rsidR="0032521F" w:rsidTr="0032521F">
        <w:trPr>
          <w:trHeight w:val="297"/>
        </w:trPr>
        <w:tc>
          <w:tcPr>
            <w:tcW w:w="1423" w:type="dxa"/>
            <w:shd w:val="clear" w:color="auto" w:fill="577E87"/>
          </w:tcPr>
          <w:p w:rsidR="0032521F" w:rsidRDefault="0032521F" w:rsidP="002040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shd w:val="clear" w:color="auto" w:fill="577E87"/>
          </w:tcPr>
          <w:p w:rsidR="0032521F" w:rsidRDefault="0032521F" w:rsidP="00204072">
            <w:pPr>
              <w:pStyle w:val="TableParagraph"/>
              <w:spacing w:before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Påbegyndt</w:t>
            </w:r>
          </w:p>
        </w:tc>
        <w:tc>
          <w:tcPr>
            <w:tcW w:w="1837" w:type="dxa"/>
            <w:shd w:val="clear" w:color="auto" w:fill="577E87"/>
          </w:tcPr>
          <w:p w:rsidR="0032521F" w:rsidRDefault="0032521F" w:rsidP="00204072">
            <w:pPr>
              <w:pStyle w:val="TableParagraph"/>
              <w:spacing w:before="4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Undervejs</w:t>
            </w:r>
          </w:p>
        </w:tc>
        <w:tc>
          <w:tcPr>
            <w:tcW w:w="2021" w:type="dxa"/>
            <w:shd w:val="clear" w:color="auto" w:fill="577E87"/>
          </w:tcPr>
          <w:p w:rsidR="0032521F" w:rsidRDefault="0032521F" w:rsidP="00204072">
            <w:pPr>
              <w:pStyle w:val="TableParagraph"/>
              <w:spacing w:before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sz w:val="20"/>
              </w:rPr>
              <w:t>Fuldført</w:t>
            </w:r>
          </w:p>
        </w:tc>
        <w:tc>
          <w:tcPr>
            <w:tcW w:w="2044" w:type="dxa"/>
            <w:shd w:val="clear" w:color="auto" w:fill="577E87"/>
          </w:tcPr>
          <w:p w:rsidR="0032521F" w:rsidRDefault="0032521F" w:rsidP="00204072">
            <w:pPr>
              <w:pStyle w:val="TableParagraph"/>
              <w:spacing w:before="4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Eksemplarisk</w:t>
            </w:r>
          </w:p>
        </w:tc>
      </w:tr>
      <w:tr w:rsidR="0032521F" w:rsidTr="0032521F">
        <w:trPr>
          <w:trHeight w:val="1346"/>
        </w:trPr>
        <w:tc>
          <w:tcPr>
            <w:tcW w:w="1423" w:type="dxa"/>
            <w:shd w:val="clear" w:color="auto" w:fill="577E87"/>
          </w:tcPr>
          <w:p w:rsidR="0032521F" w:rsidRDefault="0032521F" w:rsidP="00204072">
            <w:pPr>
              <w:pStyle w:val="TableParagraph"/>
              <w:spacing w:before="50" w:line="230" w:lineRule="auto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 xml:space="preserve">Forstå </w:t>
            </w:r>
            <w:r>
              <w:rPr>
                <w:rFonts w:ascii="Trebuchet MS" w:hAnsi="Trebuchet MS"/>
                <w:b/>
                <w:color w:val="FFFFFF"/>
                <w:w w:val="95"/>
                <w:sz w:val="18"/>
              </w:rPr>
              <w:t>udfordring</w:t>
            </w:r>
          </w:p>
        </w:tc>
        <w:tc>
          <w:tcPr>
            <w:tcW w:w="1837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right="135"/>
              <w:jc w:val="both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tilstrække- ligt vise en</w:t>
            </w:r>
            <w:r>
              <w:rPr>
                <w:color w:val="231F20"/>
                <w:spacing w:val="-29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 xml:space="preserve">forståel- se af simple dele </w:t>
            </w:r>
            <w:r>
              <w:rPr>
                <w:color w:val="231F20"/>
                <w:spacing w:val="-9"/>
                <w:w w:val="110"/>
                <w:sz w:val="16"/>
              </w:rPr>
              <w:t xml:space="preserve">af </w:t>
            </w:r>
            <w:r>
              <w:rPr>
                <w:color w:val="231F20"/>
                <w:w w:val="110"/>
                <w:sz w:val="16"/>
              </w:rPr>
              <w:t>udfordringen.</w:t>
            </w:r>
          </w:p>
        </w:tc>
        <w:tc>
          <w:tcPr>
            <w:tcW w:w="1837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right="12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Jeg kan  usikkert vise  en  forståelse af udfordringen i 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sin </w:t>
            </w:r>
            <w:r>
              <w:rPr>
                <w:color w:val="231F20"/>
                <w:w w:val="105"/>
                <w:sz w:val="16"/>
              </w:rPr>
              <w:t>helhed.</w:t>
            </w:r>
          </w:p>
        </w:tc>
        <w:tc>
          <w:tcPr>
            <w:tcW w:w="2021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left="81" w:right="16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vise en god forståelse af udfor- dringen og hele dens baggrund.</w:t>
            </w:r>
          </w:p>
        </w:tc>
        <w:tc>
          <w:tcPr>
            <w:tcW w:w="2044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left="81" w:right="4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vise en sikker og hensigtsmæssig forståelse af udfor- dringen og hele dens baggrund i relation til almene samfundsfor- hold.</w:t>
            </w:r>
          </w:p>
        </w:tc>
      </w:tr>
      <w:tr w:rsidR="0032521F" w:rsidTr="0032521F">
        <w:trPr>
          <w:trHeight w:val="1346"/>
        </w:trPr>
        <w:tc>
          <w:tcPr>
            <w:tcW w:w="1423" w:type="dxa"/>
            <w:shd w:val="clear" w:color="auto" w:fill="577E87"/>
          </w:tcPr>
          <w:p w:rsidR="0032521F" w:rsidRDefault="0032521F" w:rsidP="00204072">
            <w:pPr>
              <w:pStyle w:val="TableParagraph"/>
              <w:spacing w:before="4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Undersøge</w:t>
            </w:r>
          </w:p>
        </w:tc>
        <w:tc>
          <w:tcPr>
            <w:tcW w:w="1837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right="14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med ringe viden og færdig- hed udføre enkle og simple under- søgelser, som vil sige noget om mit problem.</w:t>
            </w:r>
          </w:p>
        </w:tc>
        <w:tc>
          <w:tcPr>
            <w:tcW w:w="1837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right="13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med usikker færdighed og viden udforme og gennemføre en undersøgelse af en del af mit problem.</w:t>
            </w:r>
          </w:p>
        </w:tc>
        <w:tc>
          <w:tcPr>
            <w:tcW w:w="2021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left="8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vise god fær- dighed og viden om undersøgelser af mit problem.</w:t>
            </w:r>
          </w:p>
        </w:tc>
        <w:tc>
          <w:tcPr>
            <w:tcW w:w="2044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left="81" w:right="6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vise sikker færdighed og viden om at forholde sig metodekritisk til flere gennemførte undersø- gelsers</w:t>
            </w:r>
            <w:r>
              <w:rPr>
                <w:color w:val="231F20"/>
                <w:spacing w:val="24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6"/>
              </w:rPr>
              <w:t>begrænsninger</w:t>
            </w:r>
          </w:p>
        </w:tc>
      </w:tr>
      <w:tr w:rsidR="0032521F" w:rsidTr="0032521F">
        <w:trPr>
          <w:trHeight w:val="1346"/>
        </w:trPr>
        <w:tc>
          <w:tcPr>
            <w:tcW w:w="1423" w:type="dxa"/>
            <w:shd w:val="clear" w:color="auto" w:fill="577E87"/>
          </w:tcPr>
          <w:p w:rsidR="0032521F" w:rsidRDefault="0032521F" w:rsidP="00204072">
            <w:pPr>
              <w:pStyle w:val="TableParagraph"/>
              <w:spacing w:before="4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Få ideer</w:t>
            </w:r>
          </w:p>
        </w:tc>
        <w:tc>
          <w:tcPr>
            <w:tcW w:w="1837" w:type="dxa"/>
          </w:tcPr>
          <w:p w:rsidR="0032521F" w:rsidRDefault="0032521F" w:rsidP="00204072">
            <w:pPr>
              <w:pStyle w:val="TableParagraph"/>
              <w:spacing w:before="56" w:line="220" w:lineRule="auto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udvikle simple ideer til en mulig løsning.</w:t>
            </w:r>
          </w:p>
        </w:tc>
        <w:tc>
          <w:tcPr>
            <w:tcW w:w="1837" w:type="dxa"/>
          </w:tcPr>
          <w:p w:rsidR="0032521F" w:rsidRDefault="0032521F" w:rsidP="00204072">
            <w:pPr>
              <w:pStyle w:val="TableParagraph"/>
              <w:spacing w:before="56" w:line="220" w:lineRule="auto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usikkert organisere ideudvik- ling og diskussion af løsning.</w:t>
            </w:r>
          </w:p>
        </w:tc>
        <w:tc>
          <w:tcPr>
            <w:tcW w:w="2021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left="81" w:right="3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på en god måde kombinere forskellige ideer til en gennemførlig løsning.</w:t>
            </w:r>
          </w:p>
        </w:tc>
        <w:tc>
          <w:tcPr>
            <w:tcW w:w="2044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left="8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sikkert og hen- sigtsmæssigt inddrage eksterne bidrag i min afprøvning af ideer</w:t>
            </w:r>
          </w:p>
          <w:p w:rsidR="0032521F" w:rsidRDefault="0032521F" w:rsidP="00204072">
            <w:pPr>
              <w:pStyle w:val="TableParagraph"/>
              <w:spacing w:before="1" w:line="220" w:lineRule="auto"/>
              <w:ind w:left="81" w:right="128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og indarbejder disse bidrag i mit forslag til udformning af løsning.</w:t>
            </w:r>
          </w:p>
        </w:tc>
      </w:tr>
      <w:tr w:rsidR="0032521F" w:rsidTr="0032521F">
        <w:trPr>
          <w:trHeight w:val="1526"/>
        </w:trPr>
        <w:tc>
          <w:tcPr>
            <w:tcW w:w="1423" w:type="dxa"/>
            <w:shd w:val="clear" w:color="auto" w:fill="577E87"/>
          </w:tcPr>
          <w:p w:rsidR="0032521F" w:rsidRDefault="0032521F" w:rsidP="00204072">
            <w:pPr>
              <w:pStyle w:val="TableParagraph"/>
              <w:spacing w:before="4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Konkretisere</w:t>
            </w:r>
          </w:p>
        </w:tc>
        <w:tc>
          <w:tcPr>
            <w:tcW w:w="1837" w:type="dxa"/>
          </w:tcPr>
          <w:p w:rsidR="0032521F" w:rsidRDefault="0032521F" w:rsidP="00204072">
            <w:pPr>
              <w:pStyle w:val="TableParagraph"/>
              <w:spacing w:before="56" w:line="220" w:lineRule="auto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lave en simpel skitse med konkrete forslag til valg af materiale til en løsning.</w:t>
            </w:r>
          </w:p>
        </w:tc>
        <w:tc>
          <w:tcPr>
            <w:tcW w:w="1837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right="6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usikkert ud- vælge og forarbejde materialer, som vil kunne indgå i en løsning.</w:t>
            </w:r>
          </w:p>
        </w:tc>
        <w:tc>
          <w:tcPr>
            <w:tcW w:w="2021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left="81" w:right="3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på en god måde kombinere og forarbejde materialer til en løsning, som konkret kan vise tre eller flere væsentlige principper i løsningen.</w:t>
            </w:r>
          </w:p>
        </w:tc>
        <w:tc>
          <w:tcPr>
            <w:tcW w:w="2044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left="81" w:right="4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sikkert og hensigtsmæssigt redegøre for og træffe valg mellem fordele og ulemper ved forskelli- ge materialer og deres forarbejdninger til en løsning.</w:t>
            </w:r>
          </w:p>
        </w:tc>
      </w:tr>
      <w:tr w:rsidR="0032521F" w:rsidTr="0032521F">
        <w:trPr>
          <w:trHeight w:val="1166"/>
        </w:trPr>
        <w:tc>
          <w:tcPr>
            <w:tcW w:w="1423" w:type="dxa"/>
            <w:shd w:val="clear" w:color="auto" w:fill="577E87"/>
          </w:tcPr>
          <w:p w:rsidR="0032521F" w:rsidRDefault="0032521F" w:rsidP="00204072">
            <w:pPr>
              <w:pStyle w:val="TableParagraph"/>
              <w:spacing w:before="4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Konstruere</w:t>
            </w:r>
          </w:p>
        </w:tc>
        <w:tc>
          <w:tcPr>
            <w:tcW w:w="1837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right="14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Jeg kan konstruere en simpel proto- type, som usikkert viser en funktionel løsning.</w:t>
            </w:r>
          </w:p>
        </w:tc>
        <w:tc>
          <w:tcPr>
            <w:tcW w:w="1837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right="-3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Jeg kan usikkert bygge en prototype, som viser e-to </w:t>
            </w:r>
            <w:r>
              <w:rPr>
                <w:color w:val="231F20"/>
                <w:spacing w:val="-3"/>
                <w:w w:val="110"/>
                <w:sz w:val="16"/>
              </w:rPr>
              <w:t xml:space="preserve">funkti- </w:t>
            </w:r>
            <w:r>
              <w:rPr>
                <w:color w:val="231F20"/>
                <w:w w:val="110"/>
                <w:sz w:val="16"/>
              </w:rPr>
              <w:t>oner i løsningen.</w:t>
            </w:r>
          </w:p>
        </w:tc>
        <w:tc>
          <w:tcPr>
            <w:tcW w:w="2021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left="81" w:right="3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Jeg kan på en god måde bygge en pro- totype, som viser tre eller flere væsentlige </w:t>
            </w:r>
            <w:r>
              <w:rPr>
                <w:color w:val="231F20"/>
                <w:w w:val="105"/>
                <w:sz w:val="16"/>
              </w:rPr>
              <w:t>funktioner i løsningen.</w:t>
            </w:r>
          </w:p>
        </w:tc>
        <w:tc>
          <w:tcPr>
            <w:tcW w:w="2044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left="81" w:right="5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 xml:space="preserve">Jeg kan sikkert og </w:t>
            </w:r>
            <w:r>
              <w:rPr>
                <w:color w:val="231F20"/>
                <w:spacing w:val="-4"/>
                <w:w w:val="110"/>
                <w:sz w:val="16"/>
              </w:rPr>
              <w:t xml:space="preserve">hen- </w:t>
            </w:r>
            <w:r>
              <w:rPr>
                <w:color w:val="231F20"/>
                <w:w w:val="110"/>
                <w:sz w:val="16"/>
              </w:rPr>
              <w:t xml:space="preserve">sigtsmæssigt bygge </w:t>
            </w:r>
            <w:r>
              <w:rPr>
                <w:color w:val="231F20"/>
                <w:spacing w:val="-7"/>
                <w:w w:val="110"/>
                <w:sz w:val="16"/>
              </w:rPr>
              <w:t xml:space="preserve">en </w:t>
            </w:r>
            <w:r>
              <w:rPr>
                <w:color w:val="231F20"/>
                <w:w w:val="110"/>
                <w:sz w:val="16"/>
              </w:rPr>
              <w:t>prototype, som viser fordele og ulemper ved forskellige valg i løsningen.</w:t>
            </w:r>
          </w:p>
        </w:tc>
      </w:tr>
      <w:tr w:rsidR="0032521F" w:rsidTr="0032521F">
        <w:trPr>
          <w:trHeight w:val="1526"/>
        </w:trPr>
        <w:tc>
          <w:tcPr>
            <w:tcW w:w="1423" w:type="dxa"/>
            <w:shd w:val="clear" w:color="auto" w:fill="577E87"/>
          </w:tcPr>
          <w:p w:rsidR="0032521F" w:rsidRDefault="0032521F" w:rsidP="00204072">
            <w:pPr>
              <w:pStyle w:val="TableParagraph"/>
              <w:spacing w:before="4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Forbedre</w:t>
            </w:r>
          </w:p>
        </w:tc>
        <w:tc>
          <w:tcPr>
            <w:tcW w:w="1837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right="8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simpelt vur- dere min løsning og komme med enkle forslag til forbed- ringer.</w:t>
            </w:r>
          </w:p>
        </w:tc>
        <w:tc>
          <w:tcPr>
            <w:tcW w:w="1837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right="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Jeg kan usikkert afprøve og teste min løsning for at finde frem til forbedringer.</w:t>
            </w:r>
          </w:p>
        </w:tc>
        <w:tc>
          <w:tcPr>
            <w:tcW w:w="2021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left="81" w:right="177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på en god måde kombinere afprøvnings- og test- procedurer, som jeg bruger til at vurdere forbedringer af min løsning efter givne kriterier.</w:t>
            </w:r>
          </w:p>
        </w:tc>
        <w:tc>
          <w:tcPr>
            <w:tcW w:w="2044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left="81" w:right="56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sikkert og hen- sigtsmæssigt afprøve og teste min løsning for at kunne diskutere forbedringer af min løsning.</w:t>
            </w:r>
          </w:p>
        </w:tc>
      </w:tr>
      <w:tr w:rsidR="0032521F" w:rsidTr="0032521F">
        <w:trPr>
          <w:trHeight w:val="1706"/>
        </w:trPr>
        <w:tc>
          <w:tcPr>
            <w:tcW w:w="1423" w:type="dxa"/>
            <w:shd w:val="clear" w:color="auto" w:fill="577E87"/>
          </w:tcPr>
          <w:p w:rsidR="0032521F" w:rsidRDefault="0032521F" w:rsidP="00204072">
            <w:pPr>
              <w:pStyle w:val="TableParagraph"/>
              <w:spacing w:before="4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Præsentere</w:t>
            </w:r>
          </w:p>
        </w:tc>
        <w:tc>
          <w:tcPr>
            <w:tcW w:w="1837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right="94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usammen- hængende præsen- tere min løsning for bl.a. brugere med brug af hverdags- sprog og sparsomt fagsprog.</w:t>
            </w:r>
          </w:p>
        </w:tc>
        <w:tc>
          <w:tcPr>
            <w:tcW w:w="1837" w:type="dxa"/>
          </w:tcPr>
          <w:p w:rsidR="0032521F" w:rsidRDefault="0032521F" w:rsidP="00204072">
            <w:pPr>
              <w:pStyle w:val="TableParagraph"/>
              <w:spacing w:before="56" w:line="220" w:lineRule="auto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usikkert præsentere min løsning for bl.a. bru- gere. Jeg kan usik- kert veksle mellem hverdagssprog og relevant fagsprog.</w:t>
            </w:r>
          </w:p>
        </w:tc>
        <w:tc>
          <w:tcPr>
            <w:tcW w:w="2021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left="8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med god sammenhæng vælge formidlingsmedier og</w:t>
            </w:r>
          </w:p>
          <w:p w:rsidR="0032521F" w:rsidRDefault="0032521F" w:rsidP="00204072">
            <w:pPr>
              <w:pStyle w:val="TableParagraph"/>
              <w:spacing w:before="1" w:line="220" w:lineRule="auto"/>
              <w:ind w:left="8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-former, som bedst præsenterer min løs- ning for bl.a. brugere. Jeg kan veksle mellem hverdagssprog og relevant fagsprog.</w:t>
            </w:r>
          </w:p>
        </w:tc>
        <w:tc>
          <w:tcPr>
            <w:tcW w:w="2044" w:type="dxa"/>
          </w:tcPr>
          <w:p w:rsidR="0032521F" w:rsidRDefault="0032521F" w:rsidP="00204072">
            <w:pPr>
              <w:pStyle w:val="TableParagraph"/>
              <w:spacing w:before="56" w:line="220" w:lineRule="auto"/>
              <w:ind w:left="81" w:right="10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Jeg kan veldisponeret og nuanceret præ- sentere min løsning for bl.a. brugere med brug af relevant form og medie. Jeg veksler sikkert mellem hver- dagssprog og relevant fagsprog.</w:t>
            </w:r>
          </w:p>
        </w:tc>
      </w:tr>
    </w:tbl>
    <w:p w:rsidR="0032521F" w:rsidRDefault="0032521F" w:rsidP="0032521F">
      <w:pPr>
        <w:pStyle w:val="Kommentartekst"/>
        <w:rPr>
          <w:rFonts w:asciiTheme="majorHAnsi" w:eastAsiaTheme="majorEastAsia" w:hAnsiTheme="majorHAnsi"/>
          <w:bCs/>
          <w:sz w:val="52"/>
          <w:szCs w:val="52"/>
        </w:rPr>
      </w:pPr>
      <w:r>
        <w:t>Re</w:t>
      </w:r>
      <w:r>
        <w:t xml:space="preserve">ference: Suzie </w:t>
      </w:r>
      <w:proofErr w:type="spellStart"/>
      <w:r>
        <w:t>Auner</w:t>
      </w:r>
      <w:proofErr w:type="spellEnd"/>
      <w:r>
        <w:t xml:space="preserve">, Peer S. Daugbjerg, Keld Nielsen &amp; Martin Sillasen (2018): Engineering i Skolen - Hvorfor, Hvad, Hvordan. VIA </w:t>
      </w:r>
      <w:proofErr w:type="spellStart"/>
      <w:r>
        <w:t>University</w:t>
      </w:r>
      <w:proofErr w:type="spellEnd"/>
      <w:r>
        <w:t xml:space="preserve"> College. Lokaliseret: </w:t>
      </w:r>
      <w:hyperlink r:id="rId10" w:history="1">
        <w:r>
          <w:rPr>
            <w:rStyle w:val="Hyperlink"/>
            <w:rFonts w:eastAsiaTheme="majorEastAsia"/>
          </w:rPr>
          <w:t>https://astra.dk/sites/default/files/eis_rapport_2.0_-_full_pdf_version_0.pdf</w:t>
        </w:r>
      </w:hyperlink>
    </w:p>
    <w:sectPr w:rsidR="0032521F" w:rsidSect="003A42A9">
      <w:headerReference w:type="default" r:id="rId11"/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1F" w:rsidRDefault="0032521F">
    <w:pPr>
      <w:pStyle w:val="Sidehoved"/>
    </w:pPr>
    <w:r w:rsidRPr="00CA7E72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155076A" wp14:editId="060A36DE">
          <wp:simplePos x="0" y="0"/>
          <wp:positionH relativeFrom="margin">
            <wp:posOffset>5057775</wp:posOffset>
          </wp:positionH>
          <wp:positionV relativeFrom="paragraph">
            <wp:posOffset>-38735</wp:posOffset>
          </wp:positionV>
          <wp:extent cx="716280" cy="393065"/>
          <wp:effectExtent l="0" t="0" r="7620" b="6985"/>
          <wp:wrapTight wrapText="bothSides">
            <wp:wrapPolygon edited="0">
              <wp:start x="574" y="0"/>
              <wp:lineTo x="0" y="3141"/>
              <wp:lineTo x="0" y="20937"/>
              <wp:lineTo x="21255" y="20937"/>
              <wp:lineTo x="21255" y="0"/>
              <wp:lineTo x="574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D72E3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6576"/>
    <w:multiLevelType w:val="hybridMultilevel"/>
    <w:tmpl w:val="362C8E4E"/>
    <w:lvl w:ilvl="0" w:tplc="936E6B4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205C"/>
    <w:multiLevelType w:val="hybridMultilevel"/>
    <w:tmpl w:val="99B42E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05A7"/>
    <w:multiLevelType w:val="hybridMultilevel"/>
    <w:tmpl w:val="1ACC8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63CF"/>
    <w:multiLevelType w:val="multilevel"/>
    <w:tmpl w:val="5E9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93A25"/>
    <w:multiLevelType w:val="hybridMultilevel"/>
    <w:tmpl w:val="AB64A04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F3B4A"/>
    <w:multiLevelType w:val="hybridMultilevel"/>
    <w:tmpl w:val="701EB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10217"/>
    <w:rsid w:val="000228C0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C6544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2521F"/>
    <w:rsid w:val="00331B89"/>
    <w:rsid w:val="00332B35"/>
    <w:rsid w:val="00340E26"/>
    <w:rsid w:val="00380FF5"/>
    <w:rsid w:val="003A42A9"/>
    <w:rsid w:val="003E1FD2"/>
    <w:rsid w:val="004823A9"/>
    <w:rsid w:val="004D3F8A"/>
    <w:rsid w:val="004E6C69"/>
    <w:rsid w:val="00516819"/>
    <w:rsid w:val="00557564"/>
    <w:rsid w:val="00562CDF"/>
    <w:rsid w:val="00571FF7"/>
    <w:rsid w:val="00572AF3"/>
    <w:rsid w:val="00587548"/>
    <w:rsid w:val="005A1005"/>
    <w:rsid w:val="005C503D"/>
    <w:rsid w:val="00602F04"/>
    <w:rsid w:val="00622D4B"/>
    <w:rsid w:val="00654B10"/>
    <w:rsid w:val="006800CE"/>
    <w:rsid w:val="00680D63"/>
    <w:rsid w:val="006A36A0"/>
    <w:rsid w:val="006A48AB"/>
    <w:rsid w:val="006C39DB"/>
    <w:rsid w:val="007114EE"/>
    <w:rsid w:val="00713EB1"/>
    <w:rsid w:val="0074659C"/>
    <w:rsid w:val="00811389"/>
    <w:rsid w:val="008311E5"/>
    <w:rsid w:val="008339F5"/>
    <w:rsid w:val="00852169"/>
    <w:rsid w:val="008904DA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B3D00"/>
    <w:rsid w:val="00AC39A3"/>
    <w:rsid w:val="00AC71A1"/>
    <w:rsid w:val="00AE73CD"/>
    <w:rsid w:val="00B2167D"/>
    <w:rsid w:val="00B25BC3"/>
    <w:rsid w:val="00B619BE"/>
    <w:rsid w:val="00BC4192"/>
    <w:rsid w:val="00BE65C3"/>
    <w:rsid w:val="00C62E45"/>
    <w:rsid w:val="00CA7E72"/>
    <w:rsid w:val="00CB121B"/>
    <w:rsid w:val="00CB2F08"/>
    <w:rsid w:val="00CB4637"/>
    <w:rsid w:val="00CE772E"/>
    <w:rsid w:val="00CF0247"/>
    <w:rsid w:val="00D1042A"/>
    <w:rsid w:val="00D4443A"/>
    <w:rsid w:val="00D52019"/>
    <w:rsid w:val="00D60034"/>
    <w:rsid w:val="00D60C7A"/>
    <w:rsid w:val="00D72529"/>
    <w:rsid w:val="00D73B3E"/>
    <w:rsid w:val="00D77DC1"/>
    <w:rsid w:val="00D86BD3"/>
    <w:rsid w:val="00D934AC"/>
    <w:rsid w:val="00DC06F5"/>
    <w:rsid w:val="00DE0FBF"/>
    <w:rsid w:val="00E50234"/>
    <w:rsid w:val="00E758CB"/>
    <w:rsid w:val="00EA281B"/>
    <w:rsid w:val="00EF1C5E"/>
    <w:rsid w:val="00F422A0"/>
    <w:rsid w:val="00F55E1A"/>
    <w:rsid w:val="00F65523"/>
    <w:rsid w:val="00F94821"/>
    <w:rsid w:val="00FB68CB"/>
    <w:rsid w:val="00FC079A"/>
    <w:rsid w:val="00FD4C62"/>
    <w:rsid w:val="00FE123C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5944"/>
  <w15:docId w15:val="{9D994A49-D9E1-41A1-B064-ACC95047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E65C3"/>
    <w:pPr>
      <w:numPr>
        <w:numId w:val="3"/>
      </w:numPr>
      <w:contextualSpacing/>
    </w:pPr>
    <w:rPr>
      <w:rFonts w:asciiTheme="minorHAnsi" w:hAnsiTheme="minorHAnsi"/>
      <w:sz w:val="22"/>
      <w:szCs w:val="22"/>
    </w:rPr>
  </w:style>
  <w:style w:type="character" w:customStyle="1" w:styleId="normaltextrun">
    <w:name w:val="normaltextrun"/>
    <w:basedOn w:val="Standardskrifttypeiafsnit"/>
    <w:rsid w:val="00BE65C3"/>
  </w:style>
  <w:style w:type="table" w:customStyle="1" w:styleId="TableNormal">
    <w:name w:val="Table Normal"/>
    <w:uiPriority w:val="2"/>
    <w:semiHidden/>
    <w:unhideWhenUsed/>
    <w:qFormat/>
    <w:rsid w:val="00325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521F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  <w:sz w:val="22"/>
      <w:szCs w:val="22"/>
      <w:lang/>
    </w:rPr>
  </w:style>
  <w:style w:type="paragraph" w:styleId="Kommentartekst">
    <w:name w:val="annotation text"/>
    <w:basedOn w:val="Normal"/>
    <w:link w:val="KommentartekstTegn"/>
    <w:uiPriority w:val="99"/>
    <w:unhideWhenUsed/>
    <w:rsid w:val="0032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2521F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325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eud/naturfag/didaktik-i-faget/engineering-som-arbejds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stra.dk/sites/default/files/eis_rapport_2.0_-_full_pdf_version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u.dk/eud/naturf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BE74-5DA9-4295-B174-60A36597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2019-12-09T09:53:00Z</dcterms:created>
  <dcterms:modified xsi:type="dcterms:W3CDTF">2019-12-09T09:53:00Z</dcterms:modified>
</cp:coreProperties>
</file>